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FB42D" w14:textId="7178D3DA" w:rsidR="00AF7DEC" w:rsidRDefault="004674D1" w:rsidP="00AF7DEC">
      <w:pPr>
        <w:pStyle w:val="Title"/>
      </w:pPr>
      <w:r>
        <w:t xml:space="preserve">Sheffield Hallam - </w:t>
      </w:r>
      <w:r w:rsidR="00AF7DEC">
        <w:t>Inclusive Practice Research</w:t>
      </w:r>
    </w:p>
    <w:p w14:paraId="39750FAF" w14:textId="77777777" w:rsidR="00AF7DEC" w:rsidRDefault="00AF7DEC"/>
    <w:p w14:paraId="2672CFDC" w14:textId="5E8E3F2B" w:rsidR="00D9359C" w:rsidRDefault="00D9359C" w:rsidP="008320E3">
      <w:pPr>
        <w:pStyle w:val="Heading1"/>
      </w:pPr>
      <w:r>
        <w:t>Introduction</w:t>
      </w:r>
    </w:p>
    <w:p w14:paraId="3581DC30" w14:textId="77777777" w:rsidR="00692652" w:rsidRDefault="00692652" w:rsidP="00692652"/>
    <w:p w14:paraId="1AD16108" w14:textId="53CBB4CF" w:rsidR="007E51DE" w:rsidRDefault="003B3950" w:rsidP="00692652">
      <w:r>
        <w:t xml:space="preserve">Disabled Student Support </w:t>
      </w:r>
      <w:r w:rsidR="00B40E15">
        <w:t xml:space="preserve">(DSS) </w:t>
      </w:r>
      <w:r>
        <w:t xml:space="preserve">wanted to work more </w:t>
      </w:r>
      <w:r w:rsidR="00936B70">
        <w:t>collaboratively</w:t>
      </w:r>
      <w:r>
        <w:t xml:space="preserve"> with students and the </w:t>
      </w:r>
      <w:r w:rsidR="008F141B">
        <w:t>S</w:t>
      </w:r>
      <w:r>
        <w:t xml:space="preserve">tudents </w:t>
      </w:r>
      <w:r w:rsidR="00F30481">
        <w:t>Union</w:t>
      </w:r>
      <w:r>
        <w:t xml:space="preserve"> </w:t>
      </w:r>
      <w:r w:rsidR="00762C10">
        <w:t xml:space="preserve">to understand </w:t>
      </w:r>
      <w:r w:rsidR="00D80D79">
        <w:t>the</w:t>
      </w:r>
      <w:r w:rsidR="007F6B1F">
        <w:t xml:space="preserve"> perceptions of inclusive practice and the</w:t>
      </w:r>
      <w:r w:rsidR="00D80D79">
        <w:t xml:space="preserve"> </w:t>
      </w:r>
      <w:r w:rsidR="00936B70">
        <w:t>discrepancy</w:t>
      </w:r>
      <w:r w:rsidR="00D80D79">
        <w:t xml:space="preserve"> between the number of students sharing a disability </w:t>
      </w:r>
      <w:r w:rsidR="00936B70">
        <w:t xml:space="preserve">at application and enrolment </w:t>
      </w:r>
      <w:r w:rsidR="008F141B">
        <w:t>and the number of students supported with a learning contract</w:t>
      </w:r>
      <w:r w:rsidR="00F30481">
        <w:t xml:space="preserve">. </w:t>
      </w:r>
      <w:r w:rsidR="00330E5A">
        <w:t xml:space="preserve"> </w:t>
      </w:r>
      <w:r w:rsidR="00B40E15">
        <w:t xml:space="preserve">Following feedback </w:t>
      </w:r>
      <w:r w:rsidR="0065343B">
        <w:t>from previous surveys</w:t>
      </w:r>
      <w:r w:rsidR="003A162A">
        <w:t xml:space="preserve">, </w:t>
      </w:r>
      <w:r w:rsidR="00607544">
        <w:t>the research aimed to consider</w:t>
      </w:r>
      <w:r w:rsidR="003A162A">
        <w:t xml:space="preserve"> streamlin</w:t>
      </w:r>
      <w:r w:rsidR="00607544">
        <w:t>ing</w:t>
      </w:r>
      <w:r w:rsidR="003A162A">
        <w:t xml:space="preserve"> the learning contract,</w:t>
      </w:r>
      <w:r w:rsidR="00607544">
        <w:t xml:space="preserve"> considering the naming of the document used for reasonable adjustments</w:t>
      </w:r>
      <w:r w:rsidR="0081758F">
        <w:t xml:space="preserve">, </w:t>
      </w:r>
      <w:r w:rsidR="004674D1">
        <w:t>improving implementation, and agreeing</w:t>
      </w:r>
      <w:r w:rsidR="003A162A">
        <w:t xml:space="preserve"> on some Baseline Inclusive Measures (BIMS) across the university to improve consistency and equity of experience for students. </w:t>
      </w:r>
    </w:p>
    <w:p w14:paraId="6E74F237" w14:textId="72508DED" w:rsidR="00692652" w:rsidRDefault="00692652" w:rsidP="00692652"/>
    <w:p w14:paraId="31AC6D4C" w14:textId="70369F69" w:rsidR="00692652" w:rsidRPr="00692652" w:rsidRDefault="00692652" w:rsidP="00692652">
      <w:pPr>
        <w:pStyle w:val="Heading1"/>
      </w:pPr>
      <w:r>
        <w:t>Research</w:t>
      </w:r>
    </w:p>
    <w:p w14:paraId="18697E16" w14:textId="77777777" w:rsidR="00D9359C" w:rsidRDefault="00D9359C"/>
    <w:p w14:paraId="544EFDBE" w14:textId="059DAC4E" w:rsidR="00AF7DEC" w:rsidRDefault="0066383C">
      <w:r>
        <w:t>The res</w:t>
      </w:r>
      <w:r w:rsidR="00F17FEA">
        <w:t xml:space="preserve">earch focused on perceptions of inclusive practice, the provision of a learning contract for reasonable adjustments, and the proposal for inclusive baseline standards. </w:t>
      </w:r>
      <w:r w:rsidR="006E4A1C">
        <w:t xml:space="preserve">The project had ethical approval </w:t>
      </w:r>
      <w:r w:rsidR="0079004E">
        <w:t>granted</w:t>
      </w:r>
      <w:r w:rsidR="00E74B71">
        <w:t>, and focus groups</w:t>
      </w:r>
      <w:r w:rsidR="0077312D">
        <w:t xml:space="preserve"> were held </w:t>
      </w:r>
      <w:r w:rsidR="00A5573E">
        <w:t>in</w:t>
      </w:r>
      <w:r w:rsidR="0077312D">
        <w:t xml:space="preserve"> December</w:t>
      </w:r>
      <w:r w:rsidR="003F4E29">
        <w:t xml:space="preserve"> 2023</w:t>
      </w:r>
      <w:r w:rsidR="0077312D">
        <w:t xml:space="preserve">. </w:t>
      </w:r>
      <w:r w:rsidR="00B55C86">
        <w:t>Forty</w:t>
      </w:r>
      <w:r w:rsidR="00FC09E3">
        <w:t xml:space="preserve"> students were invited</w:t>
      </w:r>
      <w:r w:rsidR="00E74B71">
        <w:t xml:space="preserve"> after promotion through the Disabled Student Support annual survey and direct marketing through the Students Union.</w:t>
      </w:r>
      <w:r w:rsidR="00EA26D8">
        <w:t xml:space="preserve"> </w:t>
      </w:r>
      <w:r w:rsidR="00B55C86">
        <w:t>Twenty-one</w:t>
      </w:r>
      <w:r w:rsidR="00971C6E">
        <w:t xml:space="preserve"> </w:t>
      </w:r>
      <w:r w:rsidR="00E137FA">
        <w:t xml:space="preserve">disabled and non-disabled </w:t>
      </w:r>
      <w:r w:rsidR="00A5573E">
        <w:t>students participated in the three focus groups</w:t>
      </w:r>
      <w:r w:rsidR="00971C6E">
        <w:t xml:space="preserve"> delivered on and off campus. </w:t>
      </w:r>
    </w:p>
    <w:p w14:paraId="77BC164B" w14:textId="77777777" w:rsidR="004C3268" w:rsidRDefault="004C3268"/>
    <w:p w14:paraId="77ED3912" w14:textId="608E000D" w:rsidR="004C3268" w:rsidRDefault="004C3268">
      <w:r>
        <w:t xml:space="preserve">Focus group 1 was an in-person session with </w:t>
      </w:r>
      <w:r w:rsidR="00B55C86">
        <w:t>eight</w:t>
      </w:r>
      <w:r>
        <w:t xml:space="preserve"> attendees; </w:t>
      </w:r>
      <w:r w:rsidR="00E137FA">
        <w:t>3 students self-identified</w:t>
      </w:r>
      <w:r>
        <w:t xml:space="preserve"> as disabled, there was an equal mix of male and female attendees from each college, a mix of ethnicities</w:t>
      </w:r>
      <w:r w:rsidR="00E666F5">
        <w:t>,</w:t>
      </w:r>
      <w:r>
        <w:t xml:space="preserve"> and </w:t>
      </w:r>
      <w:r w:rsidR="00B55C86">
        <w:t>two</w:t>
      </w:r>
      <w:r>
        <w:t xml:space="preserve"> international students. </w:t>
      </w:r>
      <w:r w:rsidR="00E666F5">
        <w:t>The second and third focus groups were delivered online; one was a mix of disabled</w:t>
      </w:r>
      <w:r w:rsidR="00452487">
        <w:t xml:space="preserve"> (2)</w:t>
      </w:r>
      <w:r w:rsidR="00E666F5">
        <w:t xml:space="preserve"> and non-disabled students</w:t>
      </w:r>
      <w:r w:rsidR="00452487">
        <w:t xml:space="preserve"> (</w:t>
      </w:r>
      <w:r w:rsidR="00024C33">
        <w:t>5)</w:t>
      </w:r>
      <w:r w:rsidR="00E666F5">
        <w:t>, and the final focus group was all disabled students</w:t>
      </w:r>
      <w:r w:rsidR="00024C33">
        <w:t xml:space="preserve"> (6)</w:t>
      </w:r>
      <w:r w:rsidR="00E666F5">
        <w:t xml:space="preserve">. </w:t>
      </w:r>
      <w:r w:rsidR="00FF3A49">
        <w:t xml:space="preserve">The rationale for </w:t>
      </w:r>
      <w:r w:rsidR="0046080A">
        <w:t>including non-disabled students</w:t>
      </w:r>
      <w:r w:rsidR="00FF3A49">
        <w:t xml:space="preserve"> </w:t>
      </w:r>
      <w:r w:rsidR="0046080A">
        <w:t xml:space="preserve">was that many do not consider themselves disabled but would be eligible for support. Also, </w:t>
      </w:r>
      <w:r w:rsidR="008057E9">
        <w:t>i</w:t>
      </w:r>
      <w:r w:rsidR="0046080A">
        <w:t xml:space="preserve">nclusive practice benefits not only disabled students but all students. </w:t>
      </w:r>
    </w:p>
    <w:p w14:paraId="442EBD81" w14:textId="77777777" w:rsidR="004C3268" w:rsidRDefault="004C3268"/>
    <w:p w14:paraId="0344F548" w14:textId="4BFFCBAB" w:rsidR="00692652" w:rsidRDefault="004C3268" w:rsidP="00692652">
      <w:r>
        <w:t xml:space="preserve">The data was coded using thematic analysis with pre-defined codes </w:t>
      </w:r>
      <w:r w:rsidR="00385A43">
        <w:t xml:space="preserve">agreed on </w:t>
      </w:r>
      <w:r w:rsidR="007251CF">
        <w:t>after</w:t>
      </w:r>
      <w:r>
        <w:t xml:space="preserve"> the first read-through of the transcripts created with colleagues from the </w:t>
      </w:r>
      <w:r w:rsidR="008057E9">
        <w:t>S</w:t>
      </w:r>
      <w:r>
        <w:t xml:space="preserve">tudent </w:t>
      </w:r>
      <w:r w:rsidR="008057E9">
        <w:t>U</w:t>
      </w:r>
      <w:r>
        <w:t xml:space="preserve">nion. </w:t>
      </w:r>
      <w:r w:rsidR="008320E3">
        <w:t>Meta themes were then discussed</w:t>
      </w:r>
      <w:r w:rsidR="00B55C86">
        <w:t>, following detailed</w:t>
      </w:r>
      <w:r w:rsidR="008320E3">
        <w:t xml:space="preserve"> coding by the researchers. </w:t>
      </w:r>
      <w:r>
        <w:t xml:space="preserve">The main themes resonate with the </w:t>
      </w:r>
      <w:r w:rsidR="00AD2283">
        <w:t>findings from the Disabled Student Support survey</w:t>
      </w:r>
      <w:r w:rsidR="002550FD">
        <w:t>, particularly</w:t>
      </w:r>
      <w:r w:rsidR="00AD2283">
        <w:t xml:space="preserve"> in terms of </w:t>
      </w:r>
      <w:r w:rsidR="004A5C9E">
        <w:t xml:space="preserve">communication and </w:t>
      </w:r>
      <w:r w:rsidR="00AD2283">
        <w:t xml:space="preserve">awareness of learning </w:t>
      </w:r>
      <w:r w:rsidR="00AD2283">
        <w:lastRenderedPageBreak/>
        <w:t>contracts and the support available,</w:t>
      </w:r>
      <w:r>
        <w:t xml:space="preserve"> as well as the importance of </w:t>
      </w:r>
      <w:r w:rsidR="004A5C9E">
        <w:t>implementing</w:t>
      </w:r>
      <w:r>
        <w:t xml:space="preserve"> recommendations. </w:t>
      </w:r>
      <w:r w:rsidR="00AD6069">
        <w:t xml:space="preserve">The main themes </w:t>
      </w:r>
      <w:r w:rsidR="007C2897">
        <w:t xml:space="preserve">identified </w:t>
      </w:r>
      <w:r w:rsidR="00F46BA0">
        <w:t xml:space="preserve">were </w:t>
      </w:r>
      <w:r w:rsidR="007C2897">
        <w:t>Communication, Responsibility, Implementation</w:t>
      </w:r>
      <w:r w:rsidR="00D45A4F">
        <w:t>,</w:t>
      </w:r>
      <w:r w:rsidR="007C2897">
        <w:t xml:space="preserve"> and Trust</w:t>
      </w:r>
      <w:r w:rsidR="00E52DDA">
        <w:t xml:space="preserve">. </w:t>
      </w:r>
    </w:p>
    <w:p w14:paraId="600BFCD6" w14:textId="77777777" w:rsidR="004674D1" w:rsidRDefault="004674D1" w:rsidP="00692652"/>
    <w:p w14:paraId="35160F49" w14:textId="77777777" w:rsidR="004674D1" w:rsidRDefault="004674D1" w:rsidP="00692652"/>
    <w:p w14:paraId="139F2107" w14:textId="49029618" w:rsidR="00692652" w:rsidRDefault="00692652" w:rsidP="00692652">
      <w:r>
        <w:rPr>
          <w:noProof/>
        </w:rPr>
        <w:drawing>
          <wp:inline distT="0" distB="0" distL="0" distR="0" wp14:anchorId="66E60F8E" wp14:editId="22EFA9DB">
            <wp:extent cx="5270500" cy="2964583"/>
            <wp:effectExtent l="0" t="0" r="6350" b="7620"/>
            <wp:docPr id="644109652" name="Picture 1" descr="A visualisation in the form of a mindmap of the themes derived through co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109652" name="Picture 1" descr="A visualisation in the form of a mindmap of the themes derived through codi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368" cy="2966196"/>
                    </a:xfrm>
                    <a:prstGeom prst="rect">
                      <a:avLst/>
                    </a:prstGeom>
                    <a:noFill/>
                    <a:ln>
                      <a:noFill/>
                    </a:ln>
                  </pic:spPr>
                </pic:pic>
              </a:graphicData>
            </a:graphic>
          </wp:inline>
        </w:drawing>
      </w:r>
    </w:p>
    <w:p w14:paraId="03E56EBD" w14:textId="164564A9" w:rsidR="00095F32" w:rsidRDefault="00175144" w:rsidP="00692652">
      <w:r>
        <w:t> </w:t>
      </w:r>
    </w:p>
    <w:p w14:paraId="69E3C9B1" w14:textId="506D723E" w:rsidR="00175144" w:rsidRDefault="00095F32" w:rsidP="00095F32">
      <w:pPr>
        <w:pStyle w:val="Caption"/>
      </w:pPr>
      <w:r>
        <w:t xml:space="preserve">Figure </w:t>
      </w:r>
      <w:r>
        <w:fldChar w:fldCharType="begin"/>
      </w:r>
      <w:r>
        <w:instrText>SEQ Figure \* ARABIC</w:instrText>
      </w:r>
      <w:r>
        <w:fldChar w:fldCharType="separate"/>
      </w:r>
      <w:r>
        <w:rPr>
          <w:noProof/>
        </w:rPr>
        <w:t>1</w:t>
      </w:r>
      <w:r>
        <w:fldChar w:fldCharType="end"/>
      </w:r>
      <w:r>
        <w:t xml:space="preserve"> - Visualisation of </w:t>
      </w:r>
      <w:proofErr w:type="gramStart"/>
      <w:r>
        <w:t>themes</w:t>
      </w:r>
      <w:proofErr w:type="gramEnd"/>
      <w:r w:rsidR="00336784">
        <w:t xml:space="preserve"> </w:t>
      </w:r>
    </w:p>
    <w:p w14:paraId="563B5857" w14:textId="19F1D18F" w:rsidR="004A5C9E" w:rsidRDefault="00EC48D3" w:rsidP="00EC48D3">
      <w:pPr>
        <w:pStyle w:val="Heading1"/>
      </w:pPr>
      <w:r>
        <w:t>Findings</w:t>
      </w:r>
    </w:p>
    <w:p w14:paraId="53E32690" w14:textId="77777777" w:rsidR="00EC48D3" w:rsidRPr="00EC48D3" w:rsidRDefault="00EC48D3" w:rsidP="00EC48D3"/>
    <w:p w14:paraId="5DB60078" w14:textId="43E9B3B2" w:rsidR="00D9359C" w:rsidRDefault="00E04C58" w:rsidP="00EC48D3">
      <w:pPr>
        <w:pStyle w:val="Heading2"/>
      </w:pPr>
      <w:r>
        <w:t>Perception of Inclusive Practice</w:t>
      </w:r>
    </w:p>
    <w:p w14:paraId="5714F695" w14:textId="77777777" w:rsidR="00E04C58" w:rsidRDefault="00E04C58" w:rsidP="00E04C58"/>
    <w:p w14:paraId="3D74D183" w14:textId="77CCDB05" w:rsidR="00E04C58" w:rsidRDefault="00E04C58">
      <w:r>
        <w:t xml:space="preserve">The sessions all began with </w:t>
      </w:r>
      <w:r w:rsidR="00586A0B">
        <w:t xml:space="preserve">a question about what </w:t>
      </w:r>
      <w:r w:rsidR="007429F9">
        <w:t>inclusiv</w:t>
      </w:r>
      <w:r w:rsidR="00567532">
        <w:t xml:space="preserve">ity meant to the participants. </w:t>
      </w:r>
      <w:r w:rsidR="00AF78A3">
        <w:t xml:space="preserve">Students gave </w:t>
      </w:r>
      <w:r w:rsidR="00164A18">
        <w:t>various</w:t>
      </w:r>
      <w:r w:rsidR="00AF78A3">
        <w:t xml:space="preserve"> answers</w:t>
      </w:r>
      <w:r w:rsidR="00CC5941">
        <w:t xml:space="preserve"> but all around the same themes, </w:t>
      </w:r>
      <w:r w:rsidR="004C7438">
        <w:t>making people feel included</w:t>
      </w:r>
      <w:r w:rsidR="00164A18">
        <w:t xml:space="preserve">, that </w:t>
      </w:r>
      <w:r w:rsidR="00164A18" w:rsidRPr="00405BE8">
        <w:rPr>
          <w:b/>
          <w:bCs/>
        </w:rPr>
        <w:t>‘Hallam is a place for everybody,</w:t>
      </w:r>
      <w:r w:rsidR="00164A18">
        <w:t xml:space="preserve"> ' that everything is accessible,</w:t>
      </w:r>
      <w:r w:rsidR="00D246A5">
        <w:t xml:space="preserve"> and </w:t>
      </w:r>
      <w:r w:rsidR="008E72BE">
        <w:t>that there</w:t>
      </w:r>
      <w:r w:rsidR="002A4E72">
        <w:t xml:space="preserve"> ‘</w:t>
      </w:r>
      <w:r w:rsidR="008E72BE" w:rsidRPr="00405BE8">
        <w:rPr>
          <w:b/>
          <w:bCs/>
        </w:rPr>
        <w:t>is equal access and opportunity</w:t>
      </w:r>
      <w:r w:rsidR="00164A18" w:rsidRPr="00405BE8">
        <w:rPr>
          <w:b/>
          <w:bCs/>
        </w:rPr>
        <w:t>’</w:t>
      </w:r>
      <w:r w:rsidR="004B2A86">
        <w:t xml:space="preserve"> and</w:t>
      </w:r>
      <w:r w:rsidR="002E013E">
        <w:t xml:space="preserve"> </w:t>
      </w:r>
      <w:r w:rsidR="002E013E" w:rsidRPr="00405BE8">
        <w:rPr>
          <w:b/>
          <w:bCs/>
        </w:rPr>
        <w:t>‘equity</w:t>
      </w:r>
      <w:r w:rsidR="00B55C86">
        <w:rPr>
          <w:b/>
          <w:bCs/>
        </w:rPr>
        <w:t>.’</w:t>
      </w:r>
      <w:r w:rsidR="00164A18">
        <w:t xml:space="preserve"> However,</w:t>
      </w:r>
      <w:r w:rsidR="007A4F18">
        <w:t xml:space="preserve"> some</w:t>
      </w:r>
      <w:r w:rsidR="002A4E72">
        <w:t xml:space="preserve"> participants mentioned that some students</w:t>
      </w:r>
      <w:r w:rsidR="007A4F18">
        <w:t xml:space="preserve"> may need</w:t>
      </w:r>
      <w:r w:rsidR="00BF432D">
        <w:t xml:space="preserve"> additional</w:t>
      </w:r>
      <w:r w:rsidR="007A4F18">
        <w:t xml:space="preserve"> support </w:t>
      </w:r>
      <w:r w:rsidR="00164A18">
        <w:t>or help to achieve their best</w:t>
      </w:r>
      <w:r w:rsidR="00BB0109">
        <w:t>, so not everything is equal.</w:t>
      </w:r>
    </w:p>
    <w:p w14:paraId="35BE1ACF" w14:textId="77777777" w:rsidR="00E04C58" w:rsidRDefault="00E04C58"/>
    <w:p w14:paraId="703A6D67" w14:textId="3EECDD49" w:rsidR="00D9359C" w:rsidRDefault="00D9359C" w:rsidP="00EC48D3">
      <w:pPr>
        <w:pStyle w:val="Heading2"/>
      </w:pPr>
      <w:r>
        <w:t>Communication</w:t>
      </w:r>
    </w:p>
    <w:p w14:paraId="65B96032" w14:textId="77777777" w:rsidR="008320E3" w:rsidRPr="008320E3" w:rsidRDefault="008320E3" w:rsidP="008320E3"/>
    <w:p w14:paraId="53B1B7C6" w14:textId="6AC4CDF1" w:rsidR="00E17D74" w:rsidRDefault="004A5C9E" w:rsidP="00637808">
      <w:r>
        <w:t xml:space="preserve">Communication was a </w:t>
      </w:r>
      <w:r w:rsidR="00B55C86">
        <w:t>central</w:t>
      </w:r>
      <w:r>
        <w:t xml:space="preserve"> theme throughout the focus groups</w:t>
      </w:r>
      <w:r w:rsidR="00023BA3">
        <w:t>. Sub-themes included awareness of the learning contract and support available, sharing of information, naming the learning contract</w:t>
      </w:r>
      <w:r w:rsidR="008057E9">
        <w:t>,</w:t>
      </w:r>
      <w:r w:rsidR="00023BA3">
        <w:t xml:space="preserve"> the complexities of language,</w:t>
      </w:r>
      <w:r w:rsidR="00FF460A">
        <w:t xml:space="preserve"> </w:t>
      </w:r>
      <w:r w:rsidR="00A24B31">
        <w:t>and</w:t>
      </w:r>
      <w:r w:rsidR="00FF460A">
        <w:t xml:space="preserve"> the tone </w:t>
      </w:r>
      <w:r w:rsidR="00023BA3">
        <w:t>and meaning of recommendations in the learning contract.</w:t>
      </w:r>
      <w:r w:rsidR="00730538">
        <w:t xml:space="preserve"> </w:t>
      </w:r>
    </w:p>
    <w:p w14:paraId="39BDFBDF" w14:textId="4CD0D7B5" w:rsidR="00CA4DE0" w:rsidRDefault="00CA4DE0" w:rsidP="00637808">
      <w:r>
        <w:t xml:space="preserve">Firstly, not all participants </w:t>
      </w:r>
      <w:r w:rsidR="00567776">
        <w:t>knew about</w:t>
      </w:r>
      <w:r>
        <w:t xml:space="preserve"> the learning contract </w:t>
      </w:r>
      <w:r w:rsidR="00567776">
        <w:t xml:space="preserve">at Sheffield Hallam, </w:t>
      </w:r>
      <w:r>
        <w:t xml:space="preserve">what it was, how you got one, and why it would be </w:t>
      </w:r>
      <w:r w:rsidR="00B55C86">
        <w:t>helpful</w:t>
      </w:r>
      <w:r>
        <w:t>.</w:t>
      </w:r>
      <w:r w:rsidR="000D0839">
        <w:t xml:space="preserve"> One participant mentioned that </w:t>
      </w:r>
      <w:r w:rsidR="00B55C86">
        <w:t>many students asked</w:t>
      </w:r>
      <w:r w:rsidR="000D0839">
        <w:t xml:space="preserve"> her about </w:t>
      </w:r>
      <w:r w:rsidR="00C24D3C">
        <w:t>her support</w:t>
      </w:r>
      <w:r w:rsidR="000D0839">
        <w:t xml:space="preserve"> personally</w:t>
      </w:r>
      <w:r w:rsidR="006619AA">
        <w:t xml:space="preserve">. </w:t>
      </w:r>
      <w:r w:rsidR="00A2092A">
        <w:t xml:space="preserve">Another participant </w:t>
      </w:r>
      <w:r w:rsidR="00B55C86">
        <w:t>said</w:t>
      </w:r>
      <w:r w:rsidR="00A2092A">
        <w:t xml:space="preserve"> </w:t>
      </w:r>
      <w:r w:rsidR="00A2092A">
        <w:lastRenderedPageBreak/>
        <w:t xml:space="preserve">that they were struggling badly </w:t>
      </w:r>
      <w:r w:rsidR="00C24D3C">
        <w:t xml:space="preserve">and </w:t>
      </w:r>
      <w:r w:rsidR="00D81F6B">
        <w:t>had feedback from academics to seek support</w:t>
      </w:r>
      <w:r w:rsidR="00B55C86">
        <w:t>,</w:t>
      </w:r>
      <w:r w:rsidR="00CB6435">
        <w:t xml:space="preserve"> and that was how they </w:t>
      </w:r>
      <w:r w:rsidR="00CD02AC">
        <w:t>learned about learning contracts</w:t>
      </w:r>
      <w:r w:rsidR="00D81F6B">
        <w:t xml:space="preserve">. </w:t>
      </w:r>
      <w:r w:rsidR="00CD02AC">
        <w:t>Participants felt that regular signp</w:t>
      </w:r>
      <w:r w:rsidR="008D4264">
        <w:t>osting</w:t>
      </w:r>
      <w:r w:rsidR="00CD02AC">
        <w:t xml:space="preserve"> and further explaining and advertising </w:t>
      </w:r>
      <w:r w:rsidR="00BB6659">
        <w:t xml:space="preserve">of </w:t>
      </w:r>
      <w:r w:rsidR="00CD02AC">
        <w:t>the support offer</w:t>
      </w:r>
      <w:r w:rsidR="0087610F">
        <w:t xml:space="preserve"> </w:t>
      </w:r>
      <w:r w:rsidR="00BB6659">
        <w:t xml:space="preserve">was needed to ensure that students knew what resources were available. This would need to </w:t>
      </w:r>
      <w:r w:rsidR="0019164C">
        <w:t>be done</w:t>
      </w:r>
      <w:r w:rsidR="00BB6659">
        <w:t xml:space="preserve"> </w:t>
      </w:r>
      <w:r w:rsidR="008D4264">
        <w:t xml:space="preserve">often </w:t>
      </w:r>
      <w:r w:rsidR="00D62FB4">
        <w:t xml:space="preserve">and </w:t>
      </w:r>
      <w:r w:rsidR="008D4264">
        <w:t>in</w:t>
      </w:r>
      <w:r w:rsidR="0019164C">
        <w:t xml:space="preserve"> a variety of</w:t>
      </w:r>
      <w:r w:rsidR="008D4264">
        <w:t xml:space="preserve"> methods</w:t>
      </w:r>
      <w:r w:rsidR="00D62FB4">
        <w:t xml:space="preserve">. </w:t>
      </w:r>
    </w:p>
    <w:p w14:paraId="7FEA0553" w14:textId="77777777" w:rsidR="007F2EBE" w:rsidRDefault="007F2EBE" w:rsidP="00637808"/>
    <w:p w14:paraId="27842789" w14:textId="02F010B3" w:rsidR="007F2EBE" w:rsidRDefault="007F2EBE" w:rsidP="001F322D">
      <w:pPr>
        <w:ind w:left="720" w:right="1796"/>
        <w:rPr>
          <w:b/>
          <w:bCs/>
        </w:rPr>
      </w:pPr>
      <w:proofErr w:type="gramStart"/>
      <w:r w:rsidRPr="001F322D">
        <w:rPr>
          <w:b/>
          <w:bCs/>
        </w:rPr>
        <w:t>“ it’s</w:t>
      </w:r>
      <w:proofErr w:type="gramEnd"/>
      <w:r w:rsidRPr="001F322D">
        <w:rPr>
          <w:b/>
          <w:bCs/>
        </w:rPr>
        <w:t xml:space="preserve"> important to let them [students] know that there is more support out there if people need it.</w:t>
      </w:r>
      <w:r w:rsidR="001F322D" w:rsidRPr="001F322D">
        <w:rPr>
          <w:b/>
          <w:bCs/>
        </w:rPr>
        <w:t xml:space="preserve"> </w:t>
      </w:r>
      <w:r w:rsidRPr="001F322D">
        <w:rPr>
          <w:b/>
          <w:bCs/>
        </w:rPr>
        <w:t xml:space="preserve">Because </w:t>
      </w:r>
      <w:r w:rsidR="001F322D" w:rsidRPr="001F322D">
        <w:rPr>
          <w:b/>
          <w:bCs/>
        </w:rPr>
        <w:t>…</w:t>
      </w:r>
      <w:r w:rsidRPr="001F322D">
        <w:rPr>
          <w:b/>
          <w:bCs/>
        </w:rPr>
        <w:t xml:space="preserve"> if you need more support</w:t>
      </w:r>
      <w:r w:rsidR="00B55C86">
        <w:rPr>
          <w:b/>
          <w:bCs/>
        </w:rPr>
        <w:t>,</w:t>
      </w:r>
      <w:r w:rsidRPr="001F322D">
        <w:rPr>
          <w:b/>
          <w:bCs/>
        </w:rPr>
        <w:t xml:space="preserve"> then you can access more.</w:t>
      </w:r>
      <w:r w:rsidR="001F322D" w:rsidRPr="001F322D">
        <w:rPr>
          <w:b/>
          <w:bCs/>
        </w:rPr>
        <w:t>”</w:t>
      </w:r>
    </w:p>
    <w:p w14:paraId="1FE8A434" w14:textId="6D4599E5" w:rsidR="001F322D" w:rsidRPr="001F322D" w:rsidRDefault="001F322D" w:rsidP="001F322D">
      <w:pPr>
        <w:ind w:left="720" w:right="2363"/>
      </w:pPr>
      <w:r>
        <w:t>Participant Focus Group 3</w:t>
      </w:r>
    </w:p>
    <w:p w14:paraId="35904F40" w14:textId="77777777" w:rsidR="00CA4DE0" w:rsidRDefault="00CA4DE0" w:rsidP="00637808"/>
    <w:p w14:paraId="2636285A" w14:textId="6864FFE6" w:rsidR="00757458" w:rsidRDefault="00757458" w:rsidP="00757458">
      <w:r>
        <w:t xml:space="preserve">Students who have shared a disability on their UCAS form will be sent information as applicants about the support available and invited to a Study Ready session during the summer to hear about the institutional and inclusive support available and the government-funded support through Disabled Students Allowances. Students are also asked at enrolment if they want to share a disability and are invited to register with Disabled Student Support. Disability information is also shared through Hallam Welcome. </w:t>
      </w:r>
      <w:r w:rsidR="00E83929">
        <w:t xml:space="preserve">The service has reduced as many barriers as possible to the service and now requests students </w:t>
      </w:r>
      <w:r w:rsidR="00B55C86">
        <w:t>to complete a short registration form and,</w:t>
      </w:r>
      <w:r w:rsidR="00E83929">
        <w:t xml:space="preserve"> </w:t>
      </w:r>
      <w:r w:rsidR="00572E56">
        <w:t>if possible, provide any disability evidence. The thresholds for evidence have been reduced</w:t>
      </w:r>
      <w:r w:rsidR="62DEC18E">
        <w:t xml:space="preserve"> away from the </w:t>
      </w:r>
      <w:r w:rsidR="00B55C86">
        <w:t>DSA-funded</w:t>
      </w:r>
      <w:r w:rsidR="62DEC18E">
        <w:t xml:space="preserve"> standards and more to the Equality Act definition of </w:t>
      </w:r>
      <w:r w:rsidR="0FBF28F7">
        <w:t>‘</w:t>
      </w:r>
      <w:r w:rsidR="62DEC18E">
        <w:t>significant impact</w:t>
      </w:r>
      <w:r w:rsidR="0369ACBB">
        <w:t>’</w:t>
      </w:r>
      <w:r w:rsidR="62DEC18E">
        <w:t xml:space="preserve"> and </w:t>
      </w:r>
      <w:r w:rsidR="134813D9">
        <w:t>‘</w:t>
      </w:r>
      <w:r w:rsidR="62DEC18E">
        <w:t xml:space="preserve">likely to last more than </w:t>
      </w:r>
      <w:r w:rsidR="61EAF1A0">
        <w:t xml:space="preserve">12 </w:t>
      </w:r>
      <w:proofErr w:type="gramStart"/>
      <w:r w:rsidR="713FEC9A">
        <w:t>months’</w:t>
      </w:r>
      <w:proofErr w:type="gramEnd"/>
      <w:r w:rsidR="61EAF1A0">
        <w:t xml:space="preserve">. </w:t>
      </w:r>
    </w:p>
    <w:p w14:paraId="5CA6220B" w14:textId="77777777" w:rsidR="00757458" w:rsidRDefault="00757458" w:rsidP="00757458"/>
    <w:p w14:paraId="491EF63D" w14:textId="3687F975" w:rsidR="005E627E" w:rsidRDefault="00757458" w:rsidP="00637808">
      <w:pPr>
        <w:rPr>
          <w:b/>
          <w:bCs/>
        </w:rPr>
      </w:pPr>
      <w:r w:rsidRPr="2BF299FE">
        <w:rPr>
          <w:b/>
          <w:bCs/>
        </w:rPr>
        <w:t>Recommendation</w:t>
      </w:r>
      <w:r w:rsidR="00376B61" w:rsidRPr="2BF299FE">
        <w:rPr>
          <w:b/>
          <w:bCs/>
        </w:rPr>
        <w:t xml:space="preserve"> 1</w:t>
      </w:r>
      <w:r w:rsidRPr="2BF299FE">
        <w:rPr>
          <w:b/>
          <w:bCs/>
        </w:rPr>
        <w:t xml:space="preserve">: </w:t>
      </w:r>
      <w:r w:rsidR="00630DE2" w:rsidRPr="2BF299FE">
        <w:rPr>
          <w:b/>
          <w:bCs/>
        </w:rPr>
        <w:t>Review the communications about disability and inclusive support at Hallam</w:t>
      </w:r>
      <w:r w:rsidR="4E578C92" w:rsidRPr="2BF299FE">
        <w:rPr>
          <w:b/>
          <w:bCs/>
        </w:rPr>
        <w:t xml:space="preserve"> and develop a communication plan. </w:t>
      </w:r>
    </w:p>
    <w:p w14:paraId="01B5A64D" w14:textId="77777777" w:rsidR="00E24A21" w:rsidRDefault="00E24A21" w:rsidP="00637808">
      <w:pPr>
        <w:rPr>
          <w:b/>
          <w:bCs/>
        </w:rPr>
      </w:pPr>
    </w:p>
    <w:p w14:paraId="32764704" w14:textId="27578998" w:rsidR="007A411E" w:rsidRDefault="00E24A21" w:rsidP="00637808">
      <w:r>
        <w:t xml:space="preserve">Participants </w:t>
      </w:r>
      <w:r w:rsidR="003E4F47">
        <w:t xml:space="preserve">who had a learning contract </w:t>
      </w:r>
      <w:r w:rsidR="00B55C86">
        <w:t>mainly</w:t>
      </w:r>
      <w:r w:rsidR="003E4F47">
        <w:t xml:space="preserve"> reported positive experiences, and those who had applied and were awarded funded support through the government's</w:t>
      </w:r>
      <w:r w:rsidR="00A05A16">
        <w:t xml:space="preserve"> Disabled Students Allowances </w:t>
      </w:r>
      <w:r w:rsidR="003E4F47">
        <w:t xml:space="preserve">(DSA) </w:t>
      </w:r>
      <w:r w:rsidR="00A05A16">
        <w:t xml:space="preserve">had great support from early in their course. </w:t>
      </w:r>
      <w:r w:rsidR="00BB3EE4">
        <w:t xml:space="preserve">Students felt that the process had allowed them to have some agency in </w:t>
      </w:r>
      <w:r w:rsidR="005E6035">
        <w:t>producing</w:t>
      </w:r>
      <w:r w:rsidR="00134750">
        <w:t xml:space="preserve"> the learning contract and that they approved what </w:t>
      </w:r>
      <w:r w:rsidR="00CB2C75">
        <w:t>would</w:t>
      </w:r>
      <w:r w:rsidR="00134750">
        <w:t xml:space="preserve"> be shared.</w:t>
      </w:r>
      <w:r w:rsidR="007A411E">
        <w:t xml:space="preserve"> There was some discussion around </w:t>
      </w:r>
      <w:r w:rsidR="00B55C86">
        <w:t xml:space="preserve">sharing </w:t>
      </w:r>
      <w:r w:rsidR="007A411E">
        <w:t xml:space="preserve">the learning contract and a lack of </w:t>
      </w:r>
      <w:r w:rsidR="00D31487">
        <w:t>understanding</w:t>
      </w:r>
      <w:r w:rsidR="007A411E">
        <w:t xml:space="preserve"> of how the process worked and who could see the information. This lack of awareness did </w:t>
      </w:r>
      <w:r w:rsidR="00CE39E7">
        <w:t xml:space="preserve">cause some concern about whether students would want to come forward for this type of support and the implications. </w:t>
      </w:r>
      <w:r w:rsidR="00D31487">
        <w:t xml:space="preserve">Students also </w:t>
      </w:r>
      <w:r w:rsidR="00BF59E8">
        <w:t>reported</w:t>
      </w:r>
      <w:r w:rsidR="00D31487">
        <w:t xml:space="preserve"> issues accessing the </w:t>
      </w:r>
      <w:r w:rsidR="00BF59E8">
        <w:t>Learning Contract</w:t>
      </w:r>
      <w:r w:rsidR="00D31487">
        <w:t xml:space="preserve"> themselves as they were unsure how to locate it </w:t>
      </w:r>
      <w:r w:rsidR="00BF59E8">
        <w:t xml:space="preserve">and which system it was in. </w:t>
      </w:r>
    </w:p>
    <w:p w14:paraId="77A90CA7" w14:textId="77777777" w:rsidR="00AE5BF1" w:rsidRDefault="00AE5BF1" w:rsidP="00637808"/>
    <w:p w14:paraId="52FFF0C1" w14:textId="2DE1758B" w:rsidR="00AE5BF1" w:rsidRPr="00AE5BF1" w:rsidRDefault="00AE5BF1" w:rsidP="00AE5BF1">
      <w:pPr>
        <w:ind w:left="720" w:right="1655"/>
        <w:rPr>
          <w:b/>
          <w:bCs/>
        </w:rPr>
      </w:pPr>
      <w:r w:rsidRPr="00AE5BF1">
        <w:rPr>
          <w:b/>
          <w:bCs/>
        </w:rPr>
        <w:t>“</w:t>
      </w:r>
      <w:proofErr w:type="gramStart"/>
      <w:r w:rsidRPr="00AE5BF1">
        <w:rPr>
          <w:b/>
          <w:bCs/>
        </w:rPr>
        <w:t>people</w:t>
      </w:r>
      <w:proofErr w:type="gramEnd"/>
      <w:r w:rsidRPr="00AE5BF1">
        <w:rPr>
          <w:b/>
          <w:bCs/>
        </w:rPr>
        <w:t xml:space="preserve"> are put off getting learning contracts because they are quite invasive in some regard with the whole data and who can access it and stuff.”</w:t>
      </w:r>
    </w:p>
    <w:p w14:paraId="09A30F94" w14:textId="4DE0CCD9" w:rsidR="005E627E" w:rsidRDefault="00AE5BF1" w:rsidP="00637808">
      <w:r>
        <w:tab/>
      </w:r>
      <w:r w:rsidRPr="00AE5BF1">
        <w:t>Participant Focus Group 1</w:t>
      </w:r>
    </w:p>
    <w:p w14:paraId="2925FB04" w14:textId="77777777" w:rsidR="0000602F" w:rsidRPr="00AE5BF1" w:rsidRDefault="0000602F" w:rsidP="00637808"/>
    <w:p w14:paraId="50612BB9" w14:textId="5C0736C0" w:rsidR="0000602F" w:rsidRDefault="0000602F">
      <w:r>
        <w:lastRenderedPageBreak/>
        <w:t xml:space="preserve">Interestingly, in addition to the concern about data sharing, participants also mentioned that the name was off-putting and that they were unclear about what the Learning Contract meant, that it was too formal, and didn’t adequately explain what it was for or how it was used. </w:t>
      </w:r>
      <w:r w:rsidR="000B5A79">
        <w:t xml:space="preserve">Participants </w:t>
      </w:r>
      <w:r w:rsidR="00E07AB6">
        <w:t>recognised that it was a difficult task to name the document</w:t>
      </w:r>
      <w:r w:rsidR="004E3950">
        <w:t>. However,</w:t>
      </w:r>
      <w:r w:rsidR="0099458E">
        <w:t xml:space="preserve"> terms such as </w:t>
      </w:r>
      <w:r w:rsidR="00504924" w:rsidRPr="00E07AB6">
        <w:rPr>
          <w:b/>
          <w:bCs/>
        </w:rPr>
        <w:t>‘Learning Agreement’</w:t>
      </w:r>
      <w:r w:rsidR="006A347A">
        <w:t xml:space="preserve"> and</w:t>
      </w:r>
      <w:r w:rsidR="00A26D6B">
        <w:t xml:space="preserve"> </w:t>
      </w:r>
      <w:r w:rsidR="00A26D6B" w:rsidRPr="00E07AB6">
        <w:rPr>
          <w:b/>
          <w:bCs/>
        </w:rPr>
        <w:t>‘Adjustment Plan’</w:t>
      </w:r>
      <w:r w:rsidR="001B113F">
        <w:t xml:space="preserve"> were suggested in the focus groups </w:t>
      </w:r>
      <w:r w:rsidR="00CB50BC">
        <w:t>as they felt more collaborative than contract</w:t>
      </w:r>
      <w:r w:rsidR="00E07AB6">
        <w:t>,</w:t>
      </w:r>
      <w:r w:rsidR="00CB50BC">
        <w:t xml:space="preserve"> which participants felt meant that it </w:t>
      </w:r>
      <w:r w:rsidR="008604F6">
        <w:t>could not</w:t>
      </w:r>
      <w:r w:rsidR="00CB50BC">
        <w:t xml:space="preserve"> be reviewed or ad</w:t>
      </w:r>
      <w:r w:rsidR="006A347A">
        <w:t xml:space="preserve">justed </w:t>
      </w:r>
      <w:r w:rsidR="00E07AB6">
        <w:t xml:space="preserve">and had been imposed on students. </w:t>
      </w:r>
    </w:p>
    <w:p w14:paraId="41B43874" w14:textId="77777777" w:rsidR="00151541" w:rsidRDefault="003C5AD5">
      <w:r>
        <w:t>The tone of the Learning Contract was also discussed with participants</w:t>
      </w:r>
      <w:r w:rsidR="004E3950">
        <w:t>, who stated</w:t>
      </w:r>
      <w:r>
        <w:t xml:space="preserve"> that the overall tone was </w:t>
      </w:r>
      <w:r w:rsidR="00F1296E">
        <w:t>unhelpful</w:t>
      </w:r>
      <w:r w:rsidR="007B28AF">
        <w:t xml:space="preserve"> and not very warm. The </w:t>
      </w:r>
      <w:r w:rsidR="00C521BE">
        <w:t>participants</w:t>
      </w:r>
      <w:r w:rsidR="007B28AF">
        <w:t xml:space="preserve"> felt that there was a lot of responsibility on students</w:t>
      </w:r>
      <w:r w:rsidR="00A243F8">
        <w:t>, and the wording was a bit aggressive,</w:t>
      </w:r>
      <w:r w:rsidR="004E3950">
        <w:t xml:space="preserve"> </w:t>
      </w:r>
      <w:r w:rsidR="00A243F8">
        <w:t>which</w:t>
      </w:r>
      <w:r w:rsidR="000E0884">
        <w:t xml:space="preserve"> could cause more stress.</w:t>
      </w:r>
      <w:r w:rsidR="00E312AF">
        <w:t xml:space="preserve"> </w:t>
      </w:r>
    </w:p>
    <w:p w14:paraId="5B80501B" w14:textId="77777777" w:rsidR="00151541" w:rsidRDefault="00151541"/>
    <w:p w14:paraId="36D63EB8" w14:textId="209A6378" w:rsidR="003C5AD5" w:rsidRDefault="00CF5363">
      <w:r>
        <w:t>There could be some confusion over this as there are two views</w:t>
      </w:r>
      <w:r w:rsidR="00AC3A9F">
        <w:t xml:space="preserve">, a student view and a staff view </w:t>
      </w:r>
      <w:r>
        <w:t>of the learning contract</w:t>
      </w:r>
      <w:r w:rsidR="00AC3A9F">
        <w:t>, which the group facilitators and participants</w:t>
      </w:r>
      <w:r>
        <w:t xml:space="preserve"> were unaw</w:t>
      </w:r>
      <w:r w:rsidR="00AC3A9F">
        <w:t xml:space="preserve">are of and perhaps staff generally are unaware of. </w:t>
      </w:r>
      <w:r w:rsidR="000E0884">
        <w:t>It was recommended t</w:t>
      </w:r>
      <w:r w:rsidR="00D81E5D">
        <w:t xml:space="preserve">hat </w:t>
      </w:r>
      <w:r w:rsidR="008604F6">
        <w:t xml:space="preserve">the document </w:t>
      </w:r>
      <w:r w:rsidR="004E3950">
        <w:t>should have more support</w:t>
      </w:r>
      <w:r w:rsidR="007F532F">
        <w:t xml:space="preserve"> information, not highlight </w:t>
      </w:r>
      <w:r w:rsidR="007F532F" w:rsidRPr="007F532F">
        <w:rPr>
          <w:b/>
          <w:bCs/>
        </w:rPr>
        <w:t>‘what is wrong with you but what support is available’</w:t>
      </w:r>
      <w:r w:rsidR="007F532F">
        <w:t xml:space="preserve"> </w:t>
      </w:r>
      <w:r w:rsidR="004E3950">
        <w:t>but not</w:t>
      </w:r>
      <w:r w:rsidR="008604F6">
        <w:t xml:space="preserve"> </w:t>
      </w:r>
      <w:r w:rsidR="00D81E5D">
        <w:t>a lot of</w:t>
      </w:r>
      <w:r w:rsidR="004E3950">
        <w:t xml:space="preserve"> links</w:t>
      </w:r>
      <w:r w:rsidR="006024E4">
        <w:t>,</w:t>
      </w:r>
      <w:r w:rsidR="000E0884">
        <w:t xml:space="preserve"> and </w:t>
      </w:r>
      <w:r w:rsidR="000E0884" w:rsidRPr="006024E4">
        <w:t xml:space="preserve">the language could </w:t>
      </w:r>
      <w:r w:rsidR="006024E4" w:rsidRPr="006024E4">
        <w:t>be softened</w:t>
      </w:r>
      <w:r w:rsidR="006024E4">
        <w:t xml:space="preserve">. </w:t>
      </w:r>
      <w:r w:rsidR="00B20878">
        <w:t>In addition</w:t>
      </w:r>
      <w:r w:rsidR="0096673F">
        <w:t>, a better</w:t>
      </w:r>
      <w:r w:rsidR="00B20878">
        <w:t xml:space="preserve"> understanding of how the learning contract should be implemented</w:t>
      </w:r>
      <w:r w:rsidR="0096673F">
        <w:t xml:space="preserve"> and the </w:t>
      </w:r>
      <w:r w:rsidR="00EC48D3">
        <w:t>practicality</w:t>
      </w:r>
      <w:r w:rsidR="0096673F">
        <w:t xml:space="preserve"> of this</w:t>
      </w:r>
      <w:r w:rsidR="00B20878">
        <w:t xml:space="preserve"> is </w:t>
      </w:r>
      <w:r w:rsidR="00B55C86">
        <w:t>essential</w:t>
      </w:r>
      <w:r w:rsidR="00B20878">
        <w:t xml:space="preserve">. </w:t>
      </w:r>
    </w:p>
    <w:p w14:paraId="6E17B77A" w14:textId="65F23FE1" w:rsidR="0000602F" w:rsidRDefault="0000602F"/>
    <w:p w14:paraId="4759412B" w14:textId="77777777" w:rsidR="00FD6FF6" w:rsidRDefault="00FD6FF6" w:rsidP="00FD6FF6">
      <w:r>
        <w:t>A participant summed up a session by stating.</w:t>
      </w:r>
    </w:p>
    <w:p w14:paraId="4625F6C5" w14:textId="77777777" w:rsidR="00FD6FF6" w:rsidRDefault="00FD6FF6" w:rsidP="00FD6FF6"/>
    <w:p w14:paraId="10E5F808" w14:textId="7E1E5464" w:rsidR="0000602F" w:rsidRDefault="00FD6FF6" w:rsidP="00FD6FF6">
      <w:pPr>
        <w:ind w:left="720" w:right="1371" w:hanging="11"/>
      </w:pPr>
      <w:r w:rsidRPr="00637808">
        <w:rPr>
          <w:b/>
          <w:bCs/>
        </w:rPr>
        <w:t>“I have learned a lot from the session</w:t>
      </w:r>
      <w:r w:rsidR="00B55C86">
        <w:rPr>
          <w:b/>
          <w:bCs/>
        </w:rPr>
        <w:t>,</w:t>
      </w:r>
      <w:r w:rsidRPr="00637808">
        <w:rPr>
          <w:b/>
          <w:bCs/>
        </w:rPr>
        <w:t xml:space="preserve"> and I think that the learning contract is important, yes, but the language and tone should be changed, and also their name, and also to include the other support for it to be better, yeah.”</w:t>
      </w:r>
      <w:r>
        <w:t xml:space="preserve"> </w:t>
      </w:r>
      <w:r w:rsidR="00B55C86">
        <w:t>Participant</w:t>
      </w:r>
      <w:r>
        <w:t xml:space="preserve"> from </w:t>
      </w:r>
      <w:r w:rsidR="00B55C86">
        <w:t>Focus Group</w:t>
      </w:r>
      <w:r>
        <w:t xml:space="preserve"> 2</w:t>
      </w:r>
    </w:p>
    <w:p w14:paraId="20BB1E34" w14:textId="77777777" w:rsidR="00FD6FF6" w:rsidRDefault="00FD6FF6" w:rsidP="002C5119">
      <w:pPr>
        <w:ind w:right="95"/>
      </w:pPr>
    </w:p>
    <w:p w14:paraId="1AAE48C6" w14:textId="77777777" w:rsidR="00AC2D94" w:rsidRDefault="00AC2D94" w:rsidP="002C5119">
      <w:pPr>
        <w:tabs>
          <w:tab w:val="left" w:pos="7655"/>
        </w:tabs>
        <w:ind w:right="1371"/>
      </w:pPr>
    </w:p>
    <w:p w14:paraId="1C0C1643" w14:textId="3B0FE6C4" w:rsidR="00AC2D94" w:rsidRDefault="0031745B" w:rsidP="002C5119">
      <w:pPr>
        <w:ind w:right="95"/>
      </w:pPr>
      <w:r>
        <w:t>Regarding</w:t>
      </w:r>
      <w:r w:rsidR="002C5119">
        <w:t xml:space="preserve"> the </w:t>
      </w:r>
      <w:r>
        <w:t>proposed</w:t>
      </w:r>
      <w:r w:rsidR="002C5119">
        <w:t xml:space="preserve"> changes to the learning contract, it was agreed that the key information about the </w:t>
      </w:r>
      <w:r>
        <w:t xml:space="preserve">individual’s experience of disability and its impact on teaching, learning, and assessment would be </w:t>
      </w:r>
      <w:r w:rsidR="00B55C86">
        <w:t>helpful</w:t>
      </w:r>
      <w:r>
        <w:t xml:space="preserve"> and could help explain some of the reasonable adjustments and how these could be best implemented. It was also highlighted that </w:t>
      </w:r>
      <w:r w:rsidR="00B55C86">
        <w:t>a student's needs</w:t>
      </w:r>
      <w:r>
        <w:t xml:space="preserve"> could change during their studies and that the learning contract should be a </w:t>
      </w:r>
      <w:r w:rsidRPr="0031745B">
        <w:rPr>
          <w:b/>
          <w:bCs/>
        </w:rPr>
        <w:t>‘living document’</w:t>
      </w:r>
      <w:r>
        <w:t xml:space="preserve"> that could be updated or changed to reflect this. </w:t>
      </w:r>
    </w:p>
    <w:p w14:paraId="44F8AAF5" w14:textId="77777777" w:rsidR="0031745B" w:rsidRDefault="0031745B" w:rsidP="002C5119">
      <w:pPr>
        <w:ind w:right="95"/>
      </w:pPr>
    </w:p>
    <w:p w14:paraId="6B8FEBA7" w14:textId="77777777" w:rsidR="0031745B" w:rsidRDefault="0031745B" w:rsidP="002C5119">
      <w:pPr>
        <w:ind w:right="95"/>
      </w:pPr>
    </w:p>
    <w:p w14:paraId="136BF36C" w14:textId="1FC2EA52" w:rsidR="00FD6FF6" w:rsidRPr="00FD6FF6" w:rsidRDefault="00FD6FF6" w:rsidP="00777BD8">
      <w:pPr>
        <w:ind w:right="-46"/>
        <w:rPr>
          <w:b/>
          <w:bCs/>
        </w:rPr>
      </w:pPr>
      <w:r w:rsidRPr="00FD6FF6">
        <w:rPr>
          <w:b/>
          <w:bCs/>
        </w:rPr>
        <w:t>Recommendation 2 – Rename and rebrand</w:t>
      </w:r>
      <w:r w:rsidR="00777BD8">
        <w:rPr>
          <w:b/>
          <w:bCs/>
        </w:rPr>
        <w:t xml:space="preserve"> and relaunch</w:t>
      </w:r>
      <w:r w:rsidRPr="00FD6FF6">
        <w:rPr>
          <w:b/>
          <w:bCs/>
        </w:rPr>
        <w:t xml:space="preserve"> the</w:t>
      </w:r>
      <w:r w:rsidR="00777BD8">
        <w:rPr>
          <w:b/>
          <w:bCs/>
        </w:rPr>
        <w:t xml:space="preserve"> L</w:t>
      </w:r>
      <w:r w:rsidRPr="00FD6FF6">
        <w:rPr>
          <w:b/>
          <w:bCs/>
        </w:rPr>
        <w:t>earning Contract</w:t>
      </w:r>
      <w:r w:rsidR="0031745B">
        <w:rPr>
          <w:b/>
          <w:bCs/>
        </w:rPr>
        <w:t xml:space="preserve"> </w:t>
      </w:r>
    </w:p>
    <w:p w14:paraId="168329CA" w14:textId="77777777" w:rsidR="0000602F" w:rsidRDefault="0000602F"/>
    <w:p w14:paraId="461CF12B" w14:textId="77777777" w:rsidR="00EC48D3" w:rsidRDefault="00EC48D3" w:rsidP="00EC48D3">
      <w:pPr>
        <w:pStyle w:val="Heading2"/>
      </w:pPr>
      <w:r>
        <w:t xml:space="preserve">Baseline Inclusive Measures </w:t>
      </w:r>
    </w:p>
    <w:p w14:paraId="0986E5EB" w14:textId="77777777" w:rsidR="00EC48D3" w:rsidRDefault="00EC48D3"/>
    <w:p w14:paraId="42F5404F" w14:textId="5F5CE340" w:rsidR="00B64DC5" w:rsidRDefault="00B64DC5">
      <w:r>
        <w:lastRenderedPageBreak/>
        <w:t>Regarding</w:t>
      </w:r>
      <w:r w:rsidR="008320E3">
        <w:t xml:space="preserve"> the </w:t>
      </w:r>
      <w:r w:rsidR="005E7A79">
        <w:t>B</w:t>
      </w:r>
      <w:r w:rsidR="008320E3">
        <w:t xml:space="preserve">aseline </w:t>
      </w:r>
      <w:r w:rsidR="005E7A79">
        <w:t>I</w:t>
      </w:r>
      <w:r w:rsidR="008320E3">
        <w:t>nclusive Measures (BIM</w:t>
      </w:r>
      <w:r w:rsidR="00B12E88">
        <w:t>s</w:t>
      </w:r>
      <w:r w:rsidR="008320E3">
        <w:t>)</w:t>
      </w:r>
      <w:r w:rsidR="005E7A79">
        <w:t>,</w:t>
      </w:r>
      <w:r w:rsidR="008320E3">
        <w:t xml:space="preserve"> </w:t>
      </w:r>
      <w:r>
        <w:t>there was resounding approval for this approach</w:t>
      </w:r>
      <w:r w:rsidR="00115A8F">
        <w:t xml:space="preserve"> across all the focus groups</w:t>
      </w:r>
      <w:r w:rsidR="003E4F47">
        <w:t>, especially in focus group 3,</w:t>
      </w:r>
      <w:r w:rsidR="001C21AF">
        <w:t xml:space="preserve"> which consisted of all disabled participants. </w:t>
      </w:r>
    </w:p>
    <w:p w14:paraId="2D28B107" w14:textId="77777777" w:rsidR="00B64DC5" w:rsidRDefault="00B64DC5"/>
    <w:p w14:paraId="6FF2D516" w14:textId="77777777" w:rsidR="00B64DC5" w:rsidRDefault="00B64DC5" w:rsidP="00B64DC5">
      <w:pPr>
        <w:rPr>
          <w:b/>
          <w:bCs/>
        </w:rPr>
      </w:pPr>
    </w:p>
    <w:p w14:paraId="51E58D46" w14:textId="77777777" w:rsidR="00B64DC5" w:rsidRDefault="00B64DC5" w:rsidP="00B64DC5">
      <w:pPr>
        <w:ind w:left="720" w:right="1655"/>
        <w:rPr>
          <w:b/>
          <w:bCs/>
        </w:rPr>
      </w:pPr>
      <w:r>
        <w:rPr>
          <w:b/>
          <w:bCs/>
        </w:rPr>
        <w:t>“</w:t>
      </w:r>
      <w:r w:rsidRPr="00B64DC5">
        <w:rPr>
          <w:b/>
          <w:bCs/>
        </w:rPr>
        <w:t>I think that it’s good that we’re kind of branching out and maybe students who don’t have learning contracts but have other issues that haven’t maybe been addressed by the university or they haven’t brought it to anyone’s attention, still have access to support and help.</w:t>
      </w:r>
      <w:r>
        <w:rPr>
          <w:b/>
          <w:bCs/>
        </w:rPr>
        <w:t>”</w:t>
      </w:r>
    </w:p>
    <w:p w14:paraId="2DA9E668" w14:textId="77777777" w:rsidR="00221B13" w:rsidRDefault="00221B13" w:rsidP="00B64DC5">
      <w:pPr>
        <w:ind w:left="720" w:right="1655"/>
        <w:rPr>
          <w:b/>
          <w:bCs/>
        </w:rPr>
      </w:pPr>
    </w:p>
    <w:p w14:paraId="0F23DA14" w14:textId="1A0573CF" w:rsidR="00221B13" w:rsidRPr="003417B3" w:rsidRDefault="00221B13" w:rsidP="00B64DC5">
      <w:pPr>
        <w:ind w:left="720" w:right="1655"/>
        <w:rPr>
          <w:b/>
          <w:bCs/>
        </w:rPr>
      </w:pPr>
      <w:r>
        <w:rPr>
          <w:b/>
          <w:bCs/>
        </w:rPr>
        <w:t>“</w:t>
      </w:r>
      <w:proofErr w:type="gramStart"/>
      <w:r w:rsidRPr="00221B13">
        <w:rPr>
          <w:b/>
          <w:bCs/>
        </w:rPr>
        <w:t>they</w:t>
      </w:r>
      <w:proofErr w:type="gramEnd"/>
      <w:r w:rsidRPr="00221B13">
        <w:rPr>
          <w:b/>
          <w:bCs/>
        </w:rPr>
        <w:t xml:space="preserve"> are all really relevant and really important when considering both learning contract students and those without.</w:t>
      </w:r>
      <w:r>
        <w:rPr>
          <w:b/>
          <w:bCs/>
        </w:rPr>
        <w:t>”</w:t>
      </w:r>
    </w:p>
    <w:p w14:paraId="6E69A000" w14:textId="77777777" w:rsidR="00B64DC5" w:rsidRDefault="00B64DC5" w:rsidP="00B64DC5">
      <w:pPr>
        <w:ind w:firstLine="720"/>
      </w:pPr>
      <w:r>
        <w:t>Participants in focus group 3</w:t>
      </w:r>
    </w:p>
    <w:p w14:paraId="02981253" w14:textId="77777777" w:rsidR="00B64DC5" w:rsidRDefault="00B64DC5"/>
    <w:p w14:paraId="4BA3525D" w14:textId="03C8F8F0" w:rsidR="001D1A7B" w:rsidRDefault="00B64DC5">
      <w:r>
        <w:t xml:space="preserve"> A </w:t>
      </w:r>
      <w:r w:rsidR="005258B8">
        <w:t>central</w:t>
      </w:r>
      <w:r w:rsidR="006E572A">
        <w:t xml:space="preserve"> issue that has been reported in the student survey and the focus groups is a lack of awareness of </w:t>
      </w:r>
      <w:r w:rsidR="00A10122">
        <w:t xml:space="preserve">the </w:t>
      </w:r>
      <w:r w:rsidR="006E572A">
        <w:t xml:space="preserve">support available. </w:t>
      </w:r>
      <w:r w:rsidR="00805BB2">
        <w:t>There was also</w:t>
      </w:r>
      <w:r w:rsidR="005C6249">
        <w:t xml:space="preserve"> uncertainty about what was currently available</w:t>
      </w:r>
      <w:r w:rsidR="00447B40">
        <w:t xml:space="preserve"> for all students</w:t>
      </w:r>
      <w:r w:rsidR="001E7277">
        <w:t xml:space="preserve"> </w:t>
      </w:r>
      <w:r w:rsidR="00805BB2">
        <w:t xml:space="preserve">and how this worked in practice, </w:t>
      </w:r>
      <w:r w:rsidR="00391312">
        <w:t xml:space="preserve">for example, around the extension policy. </w:t>
      </w:r>
      <w:r w:rsidR="006D5425">
        <w:t xml:space="preserve">In addition to student awareness, </w:t>
      </w:r>
      <w:r w:rsidR="00A0038D">
        <w:t xml:space="preserve">the importance of </w:t>
      </w:r>
      <w:r w:rsidR="006D5425">
        <w:t>staff awareness was also mentioned</w:t>
      </w:r>
      <w:r w:rsidR="00A0038D">
        <w:t xml:space="preserve"> and </w:t>
      </w:r>
    </w:p>
    <w:p w14:paraId="200E7010" w14:textId="77777777" w:rsidR="00A0038D" w:rsidRDefault="00A0038D"/>
    <w:p w14:paraId="14524AE6" w14:textId="0F9C701D" w:rsidR="00A0038D" w:rsidRPr="00AD1033" w:rsidRDefault="00A0038D" w:rsidP="00AD1033">
      <w:pPr>
        <w:ind w:left="720" w:right="1655"/>
        <w:rPr>
          <w:b/>
          <w:bCs/>
        </w:rPr>
      </w:pPr>
      <w:proofErr w:type="gramStart"/>
      <w:r w:rsidRPr="00AD1033">
        <w:rPr>
          <w:b/>
          <w:bCs/>
        </w:rPr>
        <w:t>“ a</w:t>
      </w:r>
      <w:proofErr w:type="gramEnd"/>
      <w:r w:rsidRPr="00AD1033">
        <w:rPr>
          <w:b/>
          <w:bCs/>
        </w:rPr>
        <w:t xml:space="preserve"> </w:t>
      </w:r>
      <w:r w:rsidR="00AD1033" w:rsidRPr="00AD1033">
        <w:rPr>
          <w:b/>
          <w:bCs/>
        </w:rPr>
        <w:t>commitment</w:t>
      </w:r>
      <w:r w:rsidRPr="00AD1033">
        <w:rPr>
          <w:b/>
          <w:bCs/>
        </w:rPr>
        <w:t xml:space="preserve"> of doing </w:t>
      </w:r>
      <w:r w:rsidR="00AD1033" w:rsidRPr="00AD1033">
        <w:rPr>
          <w:b/>
          <w:bCs/>
        </w:rPr>
        <w:t>accessibility</w:t>
      </w:r>
      <w:r w:rsidRPr="00AD1033">
        <w:rPr>
          <w:b/>
          <w:bCs/>
        </w:rPr>
        <w:t xml:space="preserve"> for everyone</w:t>
      </w:r>
      <w:r w:rsidR="00AD1033" w:rsidRPr="00AD1033">
        <w:rPr>
          <w:b/>
          <w:bCs/>
        </w:rPr>
        <w:t>, so it’s like the culture of not only the staff but all the stakeholders to have the accessible culture”</w:t>
      </w:r>
    </w:p>
    <w:p w14:paraId="472EC069" w14:textId="72DF79BD" w:rsidR="00AD1033" w:rsidRDefault="00AD1033" w:rsidP="00AD1033">
      <w:pPr>
        <w:ind w:firstLine="720"/>
      </w:pPr>
      <w:r>
        <w:t>Participant Focus Group 1</w:t>
      </w:r>
    </w:p>
    <w:p w14:paraId="5D8AE3E0" w14:textId="01DD4FF6" w:rsidR="00053444" w:rsidRDefault="00053444"/>
    <w:p w14:paraId="474313DF" w14:textId="1257E370" w:rsidR="00320A70" w:rsidRDefault="00391312">
      <w:r>
        <w:t xml:space="preserve">Students </w:t>
      </w:r>
      <w:r w:rsidR="00053444">
        <w:t xml:space="preserve">who were aware of the </w:t>
      </w:r>
      <w:r w:rsidR="00225631">
        <w:t xml:space="preserve">inclusive extra time in exams </w:t>
      </w:r>
      <w:r w:rsidR="005258B8">
        <w:t>understood</w:t>
      </w:r>
      <w:r w:rsidR="008046CD">
        <w:t xml:space="preserve"> the benefits of this approach</w:t>
      </w:r>
      <w:r w:rsidR="00225631">
        <w:t xml:space="preserve"> but that it wasn’t a panacea </w:t>
      </w:r>
      <w:r w:rsidR="00001E7B">
        <w:t xml:space="preserve">for their experiences of disability. </w:t>
      </w:r>
    </w:p>
    <w:p w14:paraId="00128CDF" w14:textId="77777777" w:rsidR="00320A70" w:rsidRDefault="00320A70"/>
    <w:p w14:paraId="36A35510" w14:textId="366AB113" w:rsidR="008320E3" w:rsidRPr="00FA7B64" w:rsidRDefault="00C61A81" w:rsidP="00FA7B64">
      <w:pPr>
        <w:ind w:left="720" w:right="1655"/>
        <w:rPr>
          <w:b/>
          <w:bCs/>
        </w:rPr>
      </w:pPr>
      <w:r w:rsidRPr="00FA7B64">
        <w:rPr>
          <w:b/>
          <w:bCs/>
        </w:rPr>
        <w:t>“</w:t>
      </w:r>
      <w:proofErr w:type="gramStart"/>
      <w:r w:rsidR="00320A70" w:rsidRPr="00FA7B64">
        <w:rPr>
          <w:b/>
          <w:bCs/>
        </w:rPr>
        <w:t>when</w:t>
      </w:r>
      <w:proofErr w:type="gramEnd"/>
      <w:r w:rsidR="00320A70" w:rsidRPr="00FA7B64">
        <w:rPr>
          <w:b/>
          <w:bCs/>
        </w:rPr>
        <w:t xml:space="preserve"> I was in school I hadn’t actually been diagnosed with my dyslexia, so the extra support would have been helpful to have as an overall option</w:t>
      </w:r>
      <w:r w:rsidRPr="00FA7B64">
        <w:rPr>
          <w:b/>
          <w:bCs/>
        </w:rPr>
        <w:t>.”</w:t>
      </w:r>
    </w:p>
    <w:p w14:paraId="4F650898" w14:textId="7B4529E0" w:rsidR="00C61A81" w:rsidRPr="00FA7B64" w:rsidRDefault="00C61A81" w:rsidP="00FA7B64">
      <w:pPr>
        <w:ind w:firstLine="720"/>
      </w:pPr>
      <w:r w:rsidRPr="00FA7B64">
        <w:t xml:space="preserve">Participant Focus </w:t>
      </w:r>
      <w:r w:rsidR="005258B8">
        <w:t>Group</w:t>
      </w:r>
      <w:r w:rsidRPr="00FA7B64">
        <w:t xml:space="preserve"> 3</w:t>
      </w:r>
    </w:p>
    <w:p w14:paraId="04E0AFF5" w14:textId="77777777" w:rsidR="00DB117D" w:rsidRDefault="00DB117D"/>
    <w:p w14:paraId="3D8674B8" w14:textId="370731D9" w:rsidR="003417B3" w:rsidRPr="00FA7B64" w:rsidRDefault="00DB117D" w:rsidP="00FA7B64">
      <w:pPr>
        <w:ind w:left="720" w:right="1655"/>
        <w:rPr>
          <w:b/>
          <w:bCs/>
        </w:rPr>
      </w:pPr>
      <w:r w:rsidRPr="00FA7B64">
        <w:rPr>
          <w:b/>
          <w:bCs/>
        </w:rPr>
        <w:t>“</w:t>
      </w:r>
      <w:r w:rsidR="00094C33" w:rsidRPr="00FA7B64">
        <w:rPr>
          <w:b/>
          <w:bCs/>
        </w:rPr>
        <w:t xml:space="preserve">the 25% extra for everybody, I know that like a lot of my friends don’t need that extra time whereas I do </w:t>
      </w:r>
      <w:proofErr w:type="gramStart"/>
      <w:r w:rsidR="00094C33" w:rsidRPr="00FA7B64">
        <w:rPr>
          <w:b/>
          <w:bCs/>
        </w:rPr>
        <w:t>…..</w:t>
      </w:r>
      <w:proofErr w:type="gramEnd"/>
      <w:r w:rsidR="00094C33" w:rsidRPr="00FA7B64">
        <w:rPr>
          <w:b/>
          <w:bCs/>
        </w:rPr>
        <w:t xml:space="preserve"> but I need to continuously explain what’s going on with me </w:t>
      </w:r>
      <w:proofErr w:type="gramStart"/>
      <w:r w:rsidR="00094C33" w:rsidRPr="00FA7B64">
        <w:rPr>
          <w:b/>
          <w:bCs/>
        </w:rPr>
        <w:t>anyway”</w:t>
      </w:r>
      <w:proofErr w:type="gramEnd"/>
    </w:p>
    <w:p w14:paraId="48D2BDE2" w14:textId="0ED61E09" w:rsidR="00094C33" w:rsidRDefault="00094C33" w:rsidP="00FA7B64">
      <w:pPr>
        <w:ind w:firstLine="720"/>
      </w:pPr>
      <w:r>
        <w:t xml:space="preserve">Participant Focus </w:t>
      </w:r>
      <w:r w:rsidR="00C30672">
        <w:t>Group</w:t>
      </w:r>
      <w:r>
        <w:t xml:space="preserve"> 2</w:t>
      </w:r>
    </w:p>
    <w:p w14:paraId="646B2525" w14:textId="77777777" w:rsidR="00094C33" w:rsidRDefault="00094C33"/>
    <w:p w14:paraId="4D0A92F6" w14:textId="77777777" w:rsidR="00001E7B" w:rsidRDefault="00001E7B" w:rsidP="00727E9C"/>
    <w:p w14:paraId="1567EB4F" w14:textId="4AD9BF56" w:rsidR="00001E7B" w:rsidRPr="00A358D9" w:rsidRDefault="00001E7B" w:rsidP="00727E9C">
      <w:pPr>
        <w:rPr>
          <w:b/>
          <w:bCs/>
        </w:rPr>
      </w:pPr>
      <w:r w:rsidRPr="00A358D9">
        <w:rPr>
          <w:b/>
          <w:bCs/>
        </w:rPr>
        <w:lastRenderedPageBreak/>
        <w:t>Recommendation</w:t>
      </w:r>
      <w:r w:rsidR="00376B61">
        <w:rPr>
          <w:b/>
          <w:bCs/>
        </w:rPr>
        <w:t xml:space="preserve"> 3</w:t>
      </w:r>
      <w:r w:rsidRPr="00A358D9">
        <w:rPr>
          <w:b/>
          <w:bCs/>
        </w:rPr>
        <w:t xml:space="preserve">: </w:t>
      </w:r>
      <w:r w:rsidR="00744C5C">
        <w:rPr>
          <w:b/>
          <w:bCs/>
        </w:rPr>
        <w:t>Agree</w:t>
      </w:r>
      <w:r w:rsidR="00C6617D" w:rsidRPr="00A358D9">
        <w:rPr>
          <w:b/>
          <w:bCs/>
        </w:rPr>
        <w:t xml:space="preserve"> </w:t>
      </w:r>
      <w:r w:rsidR="00FA43D7">
        <w:rPr>
          <w:b/>
          <w:bCs/>
        </w:rPr>
        <w:t xml:space="preserve">on </w:t>
      </w:r>
      <w:r w:rsidR="00C6617D" w:rsidRPr="00A358D9">
        <w:rPr>
          <w:b/>
          <w:bCs/>
        </w:rPr>
        <w:t>the Baseline Inclusive Measures a</w:t>
      </w:r>
      <w:r w:rsidR="00744C5C">
        <w:rPr>
          <w:b/>
          <w:bCs/>
        </w:rPr>
        <w:t>s</w:t>
      </w:r>
      <w:r w:rsidR="00C6617D" w:rsidRPr="00A358D9">
        <w:rPr>
          <w:b/>
          <w:bCs/>
        </w:rPr>
        <w:t xml:space="preserve"> a Hallam standard </w:t>
      </w:r>
      <w:r w:rsidR="00A358D9">
        <w:rPr>
          <w:b/>
          <w:bCs/>
        </w:rPr>
        <w:t>and promote this widely to staff and students</w:t>
      </w:r>
      <w:r w:rsidR="005D7F5D">
        <w:rPr>
          <w:b/>
          <w:bCs/>
        </w:rPr>
        <w:t xml:space="preserve"> for an equitable experience.</w:t>
      </w:r>
    </w:p>
    <w:p w14:paraId="7619D7CA" w14:textId="77777777" w:rsidR="00001E7B" w:rsidRDefault="00001E7B" w:rsidP="00727E9C"/>
    <w:p w14:paraId="66EC6F48" w14:textId="77777777" w:rsidR="005D7F5D" w:rsidRDefault="005D7F5D" w:rsidP="005D7F5D">
      <w:pPr>
        <w:pStyle w:val="Heading2"/>
      </w:pPr>
      <w:r>
        <w:t xml:space="preserve">Implementation </w:t>
      </w:r>
    </w:p>
    <w:p w14:paraId="26268891" w14:textId="77777777" w:rsidR="005D7F5D" w:rsidRDefault="005D7F5D" w:rsidP="00727E9C"/>
    <w:p w14:paraId="06502B3B" w14:textId="24D032B6" w:rsidR="00727E9C" w:rsidRDefault="005D7F5D" w:rsidP="00727E9C">
      <w:r>
        <w:t xml:space="preserve">One of the main themes in the research was </w:t>
      </w:r>
      <w:r w:rsidR="00A93FE7">
        <w:t xml:space="preserve">the </w:t>
      </w:r>
      <w:r w:rsidR="00F83847">
        <w:t>in</w:t>
      </w:r>
      <w:r w:rsidR="00A93FE7">
        <w:t>consistent implementation of reasonable adjustments and inclusive practice. For example, s</w:t>
      </w:r>
      <w:r w:rsidR="00727E9C">
        <w:t>ome students were already accessing lecture recordings</w:t>
      </w:r>
      <w:r w:rsidR="00CC4967">
        <w:t xml:space="preserve"> within a few hours of the session, which </w:t>
      </w:r>
      <w:r w:rsidR="00C30672">
        <w:t>positively impacted</w:t>
      </w:r>
      <w:r w:rsidR="00CC4967">
        <w:t xml:space="preserve"> their learning, and other students were not getting any recordings even with a learning contract and had the additional burden of trying to organise</w:t>
      </w:r>
      <w:r w:rsidR="00727E9C">
        <w:t xml:space="preserve"> this themselves.</w:t>
      </w:r>
      <w:r w:rsidR="00EB276D">
        <w:t xml:space="preserve"> Some of the more explicit reasonable adjustments in </w:t>
      </w:r>
      <w:r w:rsidR="004C7612">
        <w:t xml:space="preserve">the </w:t>
      </w:r>
      <w:r w:rsidR="00EB276D">
        <w:t>learning contract were not being implemented</w:t>
      </w:r>
      <w:r w:rsidR="004C7612">
        <w:t xml:space="preserve">, </w:t>
      </w:r>
      <w:r w:rsidR="00387202">
        <w:t xml:space="preserve">such as providing accessible teaching materials, providing teaching </w:t>
      </w:r>
      <w:r w:rsidR="004C7612">
        <w:t>materials</w:t>
      </w:r>
      <w:r w:rsidR="00387202">
        <w:t xml:space="preserve"> </w:t>
      </w:r>
      <w:r w:rsidR="00066EB1">
        <w:t xml:space="preserve">and reading lists </w:t>
      </w:r>
      <w:r w:rsidR="00387202">
        <w:t>in advance,</w:t>
      </w:r>
      <w:r w:rsidR="00240959">
        <w:t xml:space="preserve"> </w:t>
      </w:r>
      <w:r w:rsidR="00E95D86">
        <w:t xml:space="preserve">and </w:t>
      </w:r>
      <w:r w:rsidR="00240959">
        <w:t>supporting students with</w:t>
      </w:r>
      <w:r w:rsidR="00387202">
        <w:t xml:space="preserve"> </w:t>
      </w:r>
      <w:r w:rsidR="001615EB">
        <w:t>issues attending</w:t>
      </w:r>
      <w:r w:rsidR="00240959">
        <w:t xml:space="preserve"> sessions</w:t>
      </w:r>
      <w:r w:rsidR="0076377D">
        <w:t xml:space="preserve">. There was a lack of understanding of how academics are made aware of learning </w:t>
      </w:r>
      <w:r w:rsidR="00E95D86">
        <w:t>contracts, training to implement reasonable adjustments, disability awareness generally,</w:t>
      </w:r>
      <w:r w:rsidR="00EB017B">
        <w:t xml:space="preserve"> and the legal duty to support disabled students. </w:t>
      </w:r>
    </w:p>
    <w:p w14:paraId="3ED87894" w14:textId="77777777" w:rsidR="00391279" w:rsidRDefault="00391279" w:rsidP="00727E9C"/>
    <w:p w14:paraId="5BE5BE6D" w14:textId="5181C50E" w:rsidR="00391279" w:rsidRPr="00714DA2" w:rsidRDefault="00714DA2" w:rsidP="00336784">
      <w:pPr>
        <w:ind w:left="720" w:right="1655"/>
        <w:rPr>
          <w:b/>
          <w:bCs/>
        </w:rPr>
      </w:pPr>
      <w:r w:rsidRPr="00714DA2">
        <w:rPr>
          <w:b/>
          <w:bCs/>
        </w:rPr>
        <w:t>“</w:t>
      </w:r>
      <w:r w:rsidR="00391279" w:rsidRPr="00714DA2">
        <w:rPr>
          <w:b/>
          <w:bCs/>
        </w:rPr>
        <w:t>I feel like it would be really helpful if they could understand why these things were so important and then it would probably be executed better.</w:t>
      </w:r>
      <w:r w:rsidRPr="00714DA2">
        <w:rPr>
          <w:b/>
          <w:bCs/>
        </w:rPr>
        <w:t>”</w:t>
      </w:r>
    </w:p>
    <w:p w14:paraId="017CC467" w14:textId="753F160F" w:rsidR="00714DA2" w:rsidRDefault="00714DA2" w:rsidP="00336784">
      <w:pPr>
        <w:ind w:firstLine="720"/>
      </w:pPr>
      <w:r>
        <w:t xml:space="preserve">Participant </w:t>
      </w:r>
      <w:r w:rsidR="004C7612">
        <w:t>Focus Group 2</w:t>
      </w:r>
    </w:p>
    <w:p w14:paraId="76C4DBA4" w14:textId="77777777" w:rsidR="0049638E" w:rsidRDefault="0049638E" w:rsidP="00727E9C"/>
    <w:p w14:paraId="4044EC33" w14:textId="54B7F098" w:rsidR="00FA43D7" w:rsidRDefault="000228C5" w:rsidP="00FA43D7">
      <w:r>
        <w:t xml:space="preserve">There is discussion about how the learning contract could support </w:t>
      </w:r>
      <w:r w:rsidR="00C30672">
        <w:t>students beyond academic areas and signpost them</w:t>
      </w:r>
      <w:r w:rsidR="00A36D76">
        <w:t xml:space="preserve"> to other </w:t>
      </w:r>
      <w:r w:rsidR="009004AA">
        <w:t>forms of support.</w:t>
      </w:r>
      <w:r w:rsidR="00D73E3F">
        <w:t xml:space="preserve"> This is an interesting concept and demonstrates that being disabled isn’t limited to academic </w:t>
      </w:r>
      <w:r w:rsidR="001559FA">
        <w:t xml:space="preserve">areas of </w:t>
      </w:r>
      <w:r w:rsidR="0006530A">
        <w:t xml:space="preserve">a </w:t>
      </w:r>
      <w:r w:rsidR="00CB1B39">
        <w:t>student’s</w:t>
      </w:r>
      <w:r w:rsidR="001559FA">
        <w:t xml:space="preserve"> life but the social</w:t>
      </w:r>
      <w:r w:rsidR="0006530A">
        <w:t xml:space="preserve"> and environmental</w:t>
      </w:r>
      <w:r w:rsidR="001559FA">
        <w:t xml:space="preserve"> aspects. This was evident in the </w:t>
      </w:r>
      <w:r w:rsidR="00CB1B39">
        <w:t xml:space="preserve">experiences of physical accessibility and the impacts on university life when students </w:t>
      </w:r>
      <w:r w:rsidR="00B728D4">
        <w:t>could not</w:t>
      </w:r>
      <w:r w:rsidR="00CB1B39">
        <w:t xml:space="preserve"> access lifts and would appreciate notification when there </w:t>
      </w:r>
      <w:r w:rsidR="0006530A">
        <w:t xml:space="preserve">was an issue so that it didn’t impact </w:t>
      </w:r>
      <w:r w:rsidR="00CB1B39">
        <w:t xml:space="preserve">their attendance. </w:t>
      </w:r>
      <w:r w:rsidR="001A1667">
        <w:t xml:space="preserve">There </w:t>
      </w:r>
      <w:r w:rsidR="0006530A">
        <w:t>are also issues with travel between sessions</w:t>
      </w:r>
      <w:r w:rsidR="00F46709">
        <w:t xml:space="preserve">, the issues this caused, </w:t>
      </w:r>
      <w:r w:rsidR="0006530A">
        <w:t xml:space="preserve">and general wayfinding </w:t>
      </w:r>
      <w:r w:rsidR="0046387B">
        <w:t>difficulties</w:t>
      </w:r>
      <w:r w:rsidR="0006530A">
        <w:t xml:space="preserve"> on campus. </w:t>
      </w:r>
    </w:p>
    <w:p w14:paraId="696610A3" w14:textId="77777777" w:rsidR="00FA43D7" w:rsidRDefault="00FA43D7" w:rsidP="00FA43D7"/>
    <w:p w14:paraId="35FBD169" w14:textId="6A3D16FA" w:rsidR="00714DA2" w:rsidRDefault="00714DA2" w:rsidP="00FA43D7">
      <w:r>
        <w:t>Placements</w:t>
      </w:r>
      <w:r w:rsidR="00FA43D7">
        <w:t xml:space="preserve"> </w:t>
      </w:r>
      <w:r w:rsidR="00F27590">
        <w:t xml:space="preserve">were another area </w:t>
      </w:r>
      <w:r w:rsidR="00FA43D7">
        <w:t xml:space="preserve">discussed in the </w:t>
      </w:r>
      <w:r w:rsidR="00F27590">
        <w:t xml:space="preserve">focus groups as it is a section in the learning contract. </w:t>
      </w:r>
      <w:r w:rsidR="00514B2B">
        <w:t xml:space="preserve">Generally, it was felt that there was limited information </w:t>
      </w:r>
      <w:r w:rsidR="00BD5B50">
        <w:t>about the support available on placements</w:t>
      </w:r>
      <w:r w:rsidR="00FB6FC8">
        <w:t>,</w:t>
      </w:r>
      <w:r w:rsidR="00BD5B50">
        <w:t xml:space="preserve"> and students felt confused</w:t>
      </w:r>
      <w:r w:rsidR="00FB6FC8">
        <w:t xml:space="preserve"> and passed from one place to another. One participant said </w:t>
      </w:r>
      <w:r w:rsidR="00037919">
        <w:t>she has been in touch with the placement provider, but she would have liked to have more information about the process and what support could be implemented</w:t>
      </w:r>
      <w:r w:rsidR="00FB6FC8">
        <w:t xml:space="preserve">. </w:t>
      </w:r>
      <w:r w:rsidR="0007170D">
        <w:t xml:space="preserve">Students also </w:t>
      </w:r>
      <w:r w:rsidR="00985217">
        <w:t xml:space="preserve">recognised that there were </w:t>
      </w:r>
      <w:r w:rsidR="00037919">
        <w:t>placement issues and were unsure</w:t>
      </w:r>
      <w:r w:rsidR="0007170D">
        <w:t xml:space="preserve"> who to go to for support. </w:t>
      </w:r>
      <w:r w:rsidR="00B96406">
        <w:t xml:space="preserve">Other participants </w:t>
      </w:r>
      <w:r w:rsidR="00377718">
        <w:t>have</w:t>
      </w:r>
      <w:r w:rsidR="00B96406">
        <w:t xml:space="preserve"> </w:t>
      </w:r>
      <w:r w:rsidR="00FD61EB">
        <w:t>problems</w:t>
      </w:r>
      <w:r w:rsidR="00B96406">
        <w:t xml:space="preserve"> with </w:t>
      </w:r>
      <w:r w:rsidR="00E1691C">
        <w:t xml:space="preserve">sharing the learning contract as it was for academic study and would want something to support them on placement. </w:t>
      </w:r>
      <w:r w:rsidR="00377718">
        <w:t>Some students struggled with finding placements and what placement would mean in terms of support</w:t>
      </w:r>
      <w:r w:rsidR="009C033E">
        <w:t xml:space="preserve">, so they </w:t>
      </w:r>
      <w:r w:rsidR="009C033E">
        <w:lastRenderedPageBreak/>
        <w:t>would appreciate more input from the university to support them in getting this experience,</w:t>
      </w:r>
      <w:r w:rsidR="00377718">
        <w:t xml:space="preserve"> which is highly valued. </w:t>
      </w:r>
    </w:p>
    <w:p w14:paraId="67B2B8C2" w14:textId="77777777" w:rsidR="00F25C22" w:rsidRDefault="00F25C22" w:rsidP="00FA43D7"/>
    <w:p w14:paraId="57786FF9" w14:textId="4FF71EA1" w:rsidR="00F25C22" w:rsidRDefault="00331626" w:rsidP="00C01ADF">
      <w:pPr>
        <w:ind w:left="720" w:right="1655"/>
        <w:rPr>
          <w:b/>
          <w:bCs/>
          <w:lang w:eastAsia="en-GB"/>
        </w:rPr>
      </w:pPr>
      <w:r w:rsidRPr="00C01ADF">
        <w:rPr>
          <w:b/>
          <w:bCs/>
          <w:lang w:eastAsia="en-GB"/>
        </w:rPr>
        <w:t>“</w:t>
      </w:r>
      <w:proofErr w:type="gramStart"/>
      <w:r w:rsidR="00F25C22" w:rsidRPr="00C01ADF">
        <w:rPr>
          <w:b/>
          <w:bCs/>
          <w:lang w:eastAsia="en-GB"/>
        </w:rPr>
        <w:t>learning</w:t>
      </w:r>
      <w:proofErr w:type="gramEnd"/>
      <w:r w:rsidR="00F25C22" w:rsidRPr="00C01ADF">
        <w:rPr>
          <w:b/>
          <w:bCs/>
          <w:lang w:eastAsia="en-GB"/>
        </w:rPr>
        <w:t xml:space="preserve"> contract does need to be changed and I think that more responsibility needs to be taken on by the university rather than by the students</w:t>
      </w:r>
      <w:r w:rsidRPr="00C01ADF">
        <w:rPr>
          <w:b/>
          <w:bCs/>
          <w:lang w:eastAsia="en-GB"/>
        </w:rPr>
        <w:t>..</w:t>
      </w:r>
      <w:r w:rsidR="00F25C22" w:rsidRPr="00C01ADF">
        <w:rPr>
          <w:b/>
          <w:bCs/>
          <w:lang w:eastAsia="en-GB"/>
        </w:rPr>
        <w:t>. to be improved and more focused on placements</w:t>
      </w:r>
      <w:r w:rsidR="00C01ADF" w:rsidRPr="00C01ADF">
        <w:rPr>
          <w:b/>
          <w:bCs/>
          <w:lang w:eastAsia="en-GB"/>
        </w:rPr>
        <w:t>”</w:t>
      </w:r>
    </w:p>
    <w:p w14:paraId="79E39C8B" w14:textId="79DD4E42" w:rsidR="00C01ADF" w:rsidRDefault="00C01ADF" w:rsidP="00C01ADF">
      <w:pPr>
        <w:ind w:left="720" w:right="1655"/>
        <w:rPr>
          <w:lang w:eastAsia="en-GB"/>
        </w:rPr>
      </w:pPr>
      <w:r w:rsidRPr="00C01ADF">
        <w:rPr>
          <w:lang w:eastAsia="en-GB"/>
        </w:rPr>
        <w:t>Participant Focus Group 2</w:t>
      </w:r>
    </w:p>
    <w:p w14:paraId="09AA441E" w14:textId="77777777" w:rsidR="00953DC8" w:rsidRDefault="00953DC8" w:rsidP="00953DC8">
      <w:pPr>
        <w:ind w:right="1655"/>
        <w:rPr>
          <w:lang w:eastAsia="en-GB"/>
        </w:rPr>
      </w:pPr>
    </w:p>
    <w:p w14:paraId="316352FB" w14:textId="79814169" w:rsidR="00953DC8" w:rsidRDefault="00AB2389" w:rsidP="007E682F">
      <w:pPr>
        <w:ind w:right="-46"/>
        <w:rPr>
          <w:lang w:eastAsia="en-GB"/>
        </w:rPr>
      </w:pPr>
      <w:r>
        <w:rPr>
          <w:lang w:eastAsia="en-GB"/>
        </w:rPr>
        <w:t xml:space="preserve">Participants </w:t>
      </w:r>
      <w:r w:rsidR="00086B1D">
        <w:rPr>
          <w:lang w:eastAsia="en-GB"/>
        </w:rPr>
        <w:t xml:space="preserve">recognised that the university was trying to improve the experience, and clear communication and guidance, as well as a discussion about the support available from the university, would be very welcome as this is a major area for a lot of students in their university journey. </w:t>
      </w:r>
    </w:p>
    <w:p w14:paraId="72F9C415" w14:textId="77777777" w:rsidR="00DA3885" w:rsidRDefault="00DA3885" w:rsidP="007E682F">
      <w:pPr>
        <w:ind w:right="-46"/>
        <w:rPr>
          <w:lang w:eastAsia="en-GB"/>
        </w:rPr>
      </w:pPr>
    </w:p>
    <w:p w14:paraId="3C431E8B" w14:textId="7BE8A13A" w:rsidR="00DA3885" w:rsidRPr="00DA3885" w:rsidRDefault="00DA3885" w:rsidP="00DA3885">
      <w:pPr>
        <w:rPr>
          <w:b/>
          <w:bCs/>
          <w:lang w:eastAsia="en-GB"/>
        </w:rPr>
      </w:pPr>
      <w:r w:rsidRPr="00DA3885">
        <w:rPr>
          <w:b/>
          <w:bCs/>
          <w:lang w:eastAsia="en-GB"/>
        </w:rPr>
        <w:t>Recommendation</w:t>
      </w:r>
      <w:r w:rsidR="00376B61">
        <w:rPr>
          <w:b/>
          <w:bCs/>
          <w:lang w:eastAsia="en-GB"/>
        </w:rPr>
        <w:t xml:space="preserve"> 4</w:t>
      </w:r>
      <w:r w:rsidRPr="00DA3885">
        <w:rPr>
          <w:b/>
          <w:bCs/>
          <w:lang w:eastAsia="en-GB"/>
        </w:rPr>
        <w:t>: Improve the information and guidance to support students on placement</w:t>
      </w:r>
      <w:r w:rsidR="00376B61">
        <w:rPr>
          <w:b/>
          <w:bCs/>
          <w:lang w:eastAsia="en-GB"/>
        </w:rPr>
        <w:t>.</w:t>
      </w:r>
    </w:p>
    <w:p w14:paraId="59E78DAE" w14:textId="77777777" w:rsidR="00F25C22" w:rsidRDefault="00F25C22" w:rsidP="00FA43D7"/>
    <w:p w14:paraId="092DF10E" w14:textId="283C437C" w:rsidR="00086B1D" w:rsidRDefault="007B5EDF" w:rsidP="00DA3885">
      <w:pPr>
        <w:pStyle w:val="Heading2"/>
      </w:pPr>
      <w:r>
        <w:t>Responsibility</w:t>
      </w:r>
    </w:p>
    <w:p w14:paraId="2DCFF404" w14:textId="77777777" w:rsidR="007B5EDF" w:rsidRDefault="007B5EDF" w:rsidP="00FA43D7"/>
    <w:p w14:paraId="3E311654" w14:textId="442E800F" w:rsidR="0091371F" w:rsidRDefault="007B5EDF" w:rsidP="00FA43D7">
      <w:r>
        <w:t>As mentioned previously</w:t>
      </w:r>
      <w:r w:rsidR="003E3FD3">
        <w:t>, responsibilities are</w:t>
      </w:r>
      <w:r>
        <w:t xml:space="preserve"> mentioned several times in the research. The </w:t>
      </w:r>
      <w:r w:rsidR="007A4C2F">
        <w:t>student's</w:t>
      </w:r>
      <w:r>
        <w:t xml:space="preserve"> responsibilit</w:t>
      </w:r>
      <w:r w:rsidR="0027063C">
        <w:t>ies and proactivity</w:t>
      </w:r>
      <w:r>
        <w:t xml:space="preserve">, the </w:t>
      </w:r>
      <w:r w:rsidR="007A4C2F">
        <w:t>staff's</w:t>
      </w:r>
      <w:r>
        <w:t xml:space="preserve"> responsibility</w:t>
      </w:r>
      <w:r w:rsidR="0027063C">
        <w:t xml:space="preserve"> and buy-in</w:t>
      </w:r>
      <w:r w:rsidR="00A2519A">
        <w:t xml:space="preserve">, </w:t>
      </w:r>
      <w:r w:rsidR="00682C4E">
        <w:t xml:space="preserve">joint </w:t>
      </w:r>
      <w:r w:rsidR="00CF1ED2">
        <w:t xml:space="preserve">decision-making, </w:t>
      </w:r>
      <w:r w:rsidR="00D93574">
        <w:t xml:space="preserve">and </w:t>
      </w:r>
      <w:r w:rsidR="00CF1ED2">
        <w:t>monitoring</w:t>
      </w:r>
      <w:r w:rsidR="00DA3885">
        <w:t xml:space="preserve">. </w:t>
      </w:r>
      <w:r w:rsidR="00A2519A">
        <w:t xml:space="preserve">Students understood </w:t>
      </w:r>
      <w:r w:rsidR="00FD61EB">
        <w:t>they needed to speak to the university for</w:t>
      </w:r>
      <w:r w:rsidR="00683783">
        <w:t xml:space="preserve"> the best support</w:t>
      </w:r>
      <w:r w:rsidR="00225F11">
        <w:t xml:space="preserve">. </w:t>
      </w:r>
      <w:r w:rsidR="002037D2">
        <w:t xml:space="preserve">Participants felt </w:t>
      </w:r>
      <w:r w:rsidR="00FD61EB">
        <w:t xml:space="preserve">they had to reach out a lot to ensure </w:t>
      </w:r>
      <w:r w:rsidR="00C9581A">
        <w:t>reasonable adjustments were implemented</w:t>
      </w:r>
      <w:r w:rsidR="00A76BA8">
        <w:t>. At some points, partic</w:t>
      </w:r>
      <w:r w:rsidR="00371063">
        <w:t>i</w:t>
      </w:r>
      <w:r w:rsidR="00A76BA8">
        <w:t>pants</w:t>
      </w:r>
      <w:r w:rsidR="00371063">
        <w:t xml:space="preserve"> </w:t>
      </w:r>
      <w:r w:rsidR="00A76BA8">
        <w:t xml:space="preserve">felt this wasn’t well received by </w:t>
      </w:r>
      <w:r w:rsidR="00371063">
        <w:t xml:space="preserve">academic staff and were worried about how the relationship might be impacted or whether they would be treated or have work marked differently, even feeling that they were being punished. </w:t>
      </w:r>
      <w:r w:rsidR="00CF1ED2">
        <w:t xml:space="preserve">Participants wanted there to be conversations between course teams </w:t>
      </w:r>
      <w:r w:rsidR="00A749F6">
        <w:t xml:space="preserve">in the production of learning contracts. This </w:t>
      </w:r>
      <w:r w:rsidR="00FD61EB">
        <w:t>already happens,</w:t>
      </w:r>
      <w:r w:rsidR="00A749F6">
        <w:t xml:space="preserve"> but perhaps that isn’t always made clear to students. </w:t>
      </w:r>
      <w:r w:rsidR="00B075CF">
        <w:t xml:space="preserve">Participants felt that the tone of the </w:t>
      </w:r>
      <w:r w:rsidR="003817FA">
        <w:t xml:space="preserve">learning contract placed a lot of </w:t>
      </w:r>
      <w:r w:rsidR="00AB2899">
        <w:t>responsibility</w:t>
      </w:r>
      <w:r w:rsidR="003817FA">
        <w:t xml:space="preserve"> on students</w:t>
      </w:r>
      <w:r w:rsidR="0091371F">
        <w:t>.</w:t>
      </w:r>
    </w:p>
    <w:p w14:paraId="32B56DC7" w14:textId="77777777" w:rsidR="0091371F" w:rsidRDefault="0091371F" w:rsidP="00FA43D7"/>
    <w:p w14:paraId="753BBAAC" w14:textId="7C325A0C" w:rsidR="007B5EDF" w:rsidRPr="00AB2899" w:rsidRDefault="003817FA" w:rsidP="0091371F">
      <w:pPr>
        <w:ind w:left="720" w:right="1655"/>
        <w:rPr>
          <w:b/>
          <w:bCs/>
        </w:rPr>
      </w:pPr>
      <w:r w:rsidRPr="00AB2899">
        <w:rPr>
          <w:b/>
          <w:bCs/>
        </w:rPr>
        <w:t>‘</w:t>
      </w:r>
      <w:r w:rsidR="00AB2899" w:rsidRPr="00AB2899">
        <w:rPr>
          <w:b/>
          <w:bCs/>
        </w:rPr>
        <w:t xml:space="preserve">it’s very directive towards the student.  It is a lot of ‘you should, you </w:t>
      </w:r>
      <w:proofErr w:type="gramStart"/>
      <w:r w:rsidR="00AB2899" w:rsidRPr="00AB2899">
        <w:rPr>
          <w:b/>
          <w:bCs/>
        </w:rPr>
        <w:t>should’</w:t>
      </w:r>
      <w:proofErr w:type="gramEnd"/>
    </w:p>
    <w:p w14:paraId="04A1E010" w14:textId="77777777" w:rsidR="007B5EDF" w:rsidRDefault="007B5EDF" w:rsidP="0091371F">
      <w:pPr>
        <w:ind w:left="720" w:right="1655"/>
      </w:pPr>
    </w:p>
    <w:p w14:paraId="36E8EAFA" w14:textId="6A62AB91" w:rsidR="00727E9C" w:rsidRPr="0091371F" w:rsidRDefault="0091371F" w:rsidP="0091371F">
      <w:pPr>
        <w:ind w:left="720" w:right="1655"/>
        <w:rPr>
          <w:b/>
          <w:bCs/>
        </w:rPr>
      </w:pPr>
      <w:r w:rsidRPr="0091371F">
        <w:rPr>
          <w:b/>
          <w:bCs/>
        </w:rPr>
        <w:t>“</w:t>
      </w:r>
      <w:proofErr w:type="gramStart"/>
      <w:r w:rsidRPr="0091371F">
        <w:rPr>
          <w:b/>
          <w:bCs/>
        </w:rPr>
        <w:t>it</w:t>
      </w:r>
      <w:proofErr w:type="gramEnd"/>
      <w:r w:rsidRPr="0091371F">
        <w:rPr>
          <w:b/>
          <w:bCs/>
        </w:rPr>
        <w:t xml:space="preserve"> just feels like they’re giving you more work to do to then put it in to place where what I'm seeking for is help.”</w:t>
      </w:r>
    </w:p>
    <w:p w14:paraId="214C1DE3" w14:textId="57BB8BF4" w:rsidR="0091371F" w:rsidRDefault="0091371F" w:rsidP="0091371F">
      <w:pPr>
        <w:ind w:firstLine="720"/>
      </w:pPr>
      <w:r>
        <w:t>Participants Focus Group 2</w:t>
      </w:r>
    </w:p>
    <w:p w14:paraId="7591A9AE" w14:textId="77777777" w:rsidR="00205DE8" w:rsidRDefault="00C8233B" w:rsidP="0091371F">
      <w:r>
        <w:t xml:space="preserve">Participants felt more engaged when </w:t>
      </w:r>
      <w:r w:rsidR="006D7331">
        <w:t>they could tell academics had read the learning contract</w:t>
      </w:r>
      <w:r w:rsidR="009C23D2">
        <w:t>; when</w:t>
      </w:r>
      <w:r w:rsidR="00DF195E">
        <w:t xml:space="preserve"> they hadn’t,</w:t>
      </w:r>
      <w:r w:rsidR="00296D99">
        <w:t xml:space="preserve"> they were </w:t>
      </w:r>
      <w:r w:rsidR="00296D99" w:rsidRPr="00296D99">
        <w:rPr>
          <w:b/>
          <w:bCs/>
        </w:rPr>
        <w:t>‘not really being acknowledged’</w:t>
      </w:r>
      <w:r w:rsidR="00296D99">
        <w:rPr>
          <w:b/>
          <w:bCs/>
        </w:rPr>
        <w:t xml:space="preserve">. </w:t>
      </w:r>
      <w:r w:rsidR="00995EC0" w:rsidRPr="00995EC0">
        <w:t>P</w:t>
      </w:r>
      <w:r w:rsidR="00995EC0">
        <w:t>articipants</w:t>
      </w:r>
      <w:r w:rsidR="00DF195E">
        <w:t xml:space="preserve"> felt that</w:t>
      </w:r>
      <w:r w:rsidR="00995EC0">
        <w:t xml:space="preserve"> having a named contact from Disabled Student Support </w:t>
      </w:r>
      <w:r w:rsidR="006955A1">
        <w:t xml:space="preserve">would be helpful if there was an issue in the classroom. Students are encouraged to come back to </w:t>
      </w:r>
      <w:r w:rsidR="006955A1">
        <w:lastRenderedPageBreak/>
        <w:t xml:space="preserve">disabled student Support if they are experiencing any difficulties with the reasonable adjustments in the learning contract, either not working or not being implemented. </w:t>
      </w:r>
    </w:p>
    <w:p w14:paraId="33C7DD54" w14:textId="77777777" w:rsidR="00205DE8" w:rsidRDefault="00205DE8" w:rsidP="0091371F"/>
    <w:p w14:paraId="32E55471" w14:textId="642726A9" w:rsidR="007C15CC" w:rsidRDefault="006955A1" w:rsidP="0091371F">
      <w:r>
        <w:t>Again, perhaps this needs better communication</w:t>
      </w:r>
      <w:r w:rsidR="003007E7">
        <w:t xml:space="preserve"> about the tone of the learning contract and the responsibilities. The current Learning contract has the </w:t>
      </w:r>
      <w:r w:rsidR="00346650">
        <w:t>responsibilities</w:t>
      </w:r>
      <w:r w:rsidR="003007E7">
        <w:t xml:space="preserve"> of all stakeholders</w:t>
      </w:r>
      <w:r w:rsidR="00346650">
        <w:t>, but this makes for a lengthy</w:t>
      </w:r>
      <w:r w:rsidR="003007E7">
        <w:t xml:space="preserve"> document. </w:t>
      </w:r>
      <w:r w:rsidR="007339D5">
        <w:t xml:space="preserve">However, </w:t>
      </w:r>
      <w:r w:rsidR="00FA3850">
        <w:t xml:space="preserve">students </w:t>
      </w:r>
      <w:r w:rsidR="00132F43">
        <w:t>want to</w:t>
      </w:r>
      <w:r w:rsidR="00FA3850">
        <w:t xml:space="preserve"> know</w:t>
      </w:r>
      <w:r w:rsidR="007339D5">
        <w:t xml:space="preserve"> what staff are responsible for</w:t>
      </w:r>
      <w:r w:rsidR="009C23D2">
        <w:t xml:space="preserve">. </w:t>
      </w:r>
      <w:r w:rsidR="00956248">
        <w:t xml:space="preserve">Students gave useful ideas for </w:t>
      </w:r>
      <w:r w:rsidR="00132F43">
        <w:t>supporting</w:t>
      </w:r>
      <w:r w:rsidR="00956248">
        <w:t xml:space="preserve"> implementation</w:t>
      </w:r>
      <w:r w:rsidR="00FA3850">
        <w:t>,</w:t>
      </w:r>
      <w:r w:rsidR="00956248">
        <w:t xml:space="preserve"> such as having </w:t>
      </w:r>
      <w:r w:rsidR="005E1F19">
        <w:t>a list of students with learni</w:t>
      </w:r>
      <w:r w:rsidR="00FA3850">
        <w:t xml:space="preserve">ng contracts, not knowing that this is available on class lists. </w:t>
      </w:r>
      <w:r w:rsidR="003A35FA">
        <w:t xml:space="preserve">Participants also asked about </w:t>
      </w:r>
      <w:r w:rsidR="00240A37">
        <w:t>the</w:t>
      </w:r>
      <w:r w:rsidR="00C45F20">
        <w:t xml:space="preserve"> training provided and what would be </w:t>
      </w:r>
      <w:r w:rsidR="00B81A9C">
        <w:t>helpful</w:t>
      </w:r>
      <w:r w:rsidR="00C45F20">
        <w:t xml:space="preserve"> to staff</w:t>
      </w:r>
      <w:r w:rsidR="00360DCA">
        <w:t xml:space="preserve"> and </w:t>
      </w:r>
      <w:r w:rsidR="00D0083C">
        <w:t>ensuring that lecturers know</w:t>
      </w:r>
      <w:r w:rsidR="00360DCA">
        <w:t xml:space="preserve"> what they can be doing.</w:t>
      </w:r>
    </w:p>
    <w:p w14:paraId="0BAA500F" w14:textId="77777777" w:rsidR="00E630DA" w:rsidRDefault="00E630DA" w:rsidP="0091371F"/>
    <w:p w14:paraId="50DDA2D8" w14:textId="77777777" w:rsidR="007C15CC" w:rsidRDefault="007C15CC" w:rsidP="0091371F"/>
    <w:p w14:paraId="357E0E02" w14:textId="392E2C46" w:rsidR="0091371F" w:rsidRPr="007C15CC" w:rsidRDefault="007C15CC" w:rsidP="0091371F">
      <w:pPr>
        <w:rPr>
          <w:b/>
          <w:bCs/>
        </w:rPr>
      </w:pPr>
      <w:r w:rsidRPr="007C15CC">
        <w:rPr>
          <w:b/>
          <w:bCs/>
        </w:rPr>
        <w:t xml:space="preserve">Recommendation 5. </w:t>
      </w:r>
      <w:r w:rsidR="00346650" w:rsidRPr="007C15CC">
        <w:rPr>
          <w:b/>
          <w:bCs/>
        </w:rPr>
        <w:t xml:space="preserve">Reasonable Adjustments and Inclusive Practice policy and a training program for academic staff. </w:t>
      </w:r>
    </w:p>
    <w:p w14:paraId="7A4F9F31" w14:textId="77777777" w:rsidR="00216D54" w:rsidRDefault="00216D54" w:rsidP="0091371F"/>
    <w:p w14:paraId="59E2C969" w14:textId="77777777" w:rsidR="00E62FE4" w:rsidRDefault="00E62FE4" w:rsidP="0091371F"/>
    <w:p w14:paraId="3B4EFA2F" w14:textId="298B6D2F" w:rsidR="00D93574" w:rsidRDefault="00B24642" w:rsidP="00D93574">
      <w:pPr>
        <w:pStyle w:val="Heading2"/>
      </w:pPr>
      <w:r>
        <w:t xml:space="preserve">Trust and </w:t>
      </w:r>
      <w:r w:rsidR="00D93574">
        <w:t>Student Voice</w:t>
      </w:r>
    </w:p>
    <w:p w14:paraId="378F0DF4" w14:textId="77777777" w:rsidR="00D93574" w:rsidRDefault="00D93574" w:rsidP="0091371F"/>
    <w:p w14:paraId="5F0D0845" w14:textId="0E2DABE9" w:rsidR="003D7FAF" w:rsidRDefault="00B24642" w:rsidP="00E630DA">
      <w:r>
        <w:t xml:space="preserve">Trust is a theme that runs through the </w:t>
      </w:r>
      <w:r w:rsidR="00B413AB">
        <w:t xml:space="preserve">focus groups. This was </w:t>
      </w:r>
      <w:r w:rsidR="00666675">
        <w:t xml:space="preserve">articulated through the reciprocity of sharing a disability and </w:t>
      </w:r>
      <w:r w:rsidR="008072F3">
        <w:t>personal experiences of disability with staff and through a learning contract</w:t>
      </w:r>
      <w:r w:rsidR="00334B5A">
        <w:t xml:space="preserve"> that </w:t>
      </w:r>
      <w:r w:rsidR="003461D2">
        <w:t>this information is used to support students</w:t>
      </w:r>
      <w:r w:rsidR="007E0A77">
        <w:t>. Still, it</w:t>
      </w:r>
      <w:r w:rsidR="003461D2">
        <w:t xml:space="preserve"> could also create some vulnerability and uncertainty about implementation. </w:t>
      </w:r>
    </w:p>
    <w:p w14:paraId="1D1B7FBB" w14:textId="77777777" w:rsidR="003D7FAF" w:rsidRDefault="003D7FAF" w:rsidP="00E630DA"/>
    <w:p w14:paraId="1AE03C4C" w14:textId="77777777" w:rsidR="003D7FAF" w:rsidRPr="00F03306" w:rsidRDefault="003D7FAF" w:rsidP="003D7FAF">
      <w:pPr>
        <w:ind w:left="720" w:right="1655"/>
        <w:rPr>
          <w:b/>
          <w:bCs/>
        </w:rPr>
      </w:pPr>
      <w:r w:rsidRPr="00F03306">
        <w:rPr>
          <w:b/>
          <w:bCs/>
        </w:rPr>
        <w:t xml:space="preserve">“It’s about, I guess, feeling safe enough, brave enough, and compassionate enough spaces </w:t>
      </w:r>
      <w:proofErr w:type="gramStart"/>
      <w:r w:rsidRPr="00F03306">
        <w:rPr>
          <w:b/>
          <w:bCs/>
        </w:rPr>
        <w:t>in order to</w:t>
      </w:r>
      <w:proofErr w:type="gramEnd"/>
      <w:r w:rsidRPr="00F03306">
        <w:rPr>
          <w:b/>
          <w:bCs/>
        </w:rPr>
        <w:t xml:space="preserve"> be open about this and to have those conversations without feeling that you're taking up their time or you're being a nuisance or anything like that.   It’s, I guess, fostering those spaces where you can have those conversations.”</w:t>
      </w:r>
    </w:p>
    <w:p w14:paraId="42252392" w14:textId="613567E3" w:rsidR="003D7FAF" w:rsidRDefault="003D7FAF" w:rsidP="007E0A77">
      <w:pPr>
        <w:ind w:firstLine="720"/>
      </w:pPr>
      <w:r>
        <w:t>Participant Focus Group 3</w:t>
      </w:r>
    </w:p>
    <w:p w14:paraId="13E387DF" w14:textId="77777777" w:rsidR="003D7FAF" w:rsidRDefault="003D7FAF" w:rsidP="00E630DA"/>
    <w:p w14:paraId="355F2861" w14:textId="4D030D84" w:rsidR="00360DCA" w:rsidRDefault="004E6C14" w:rsidP="00E630DA">
      <w:r>
        <w:t xml:space="preserve">Students felt that the process with the learning contract </w:t>
      </w:r>
      <w:r w:rsidR="00334B5A">
        <w:t>meant that it couldn’t be reviewed or discussed after the initial contract was drawn up. Perhaps</w:t>
      </w:r>
      <w:r w:rsidR="00241A9B">
        <w:t xml:space="preserve"> due to the name</w:t>
      </w:r>
      <w:r w:rsidR="006A61E1">
        <w:t xml:space="preserve"> and the word ‘contract</w:t>
      </w:r>
      <w:r w:rsidR="007E0A77">
        <w:t>,’</w:t>
      </w:r>
      <w:r w:rsidR="006A61E1">
        <w:t xml:space="preserve"> it felt fixed and immutable</w:t>
      </w:r>
      <w:r w:rsidR="00241A9B">
        <w:t xml:space="preserve">. However, the learning contract can be amended and updated, and there is version control. </w:t>
      </w:r>
      <w:r w:rsidR="009B70CE">
        <w:t xml:space="preserve">The main reason for wanting more checking in was the lack of understanding about what support was needed, especially at the beginning of the course; they weren’t sure what they needed </w:t>
      </w:r>
      <w:r w:rsidR="00E62FE4">
        <w:t xml:space="preserve">or what would work. </w:t>
      </w:r>
      <w:r w:rsidR="006563A9">
        <w:t>They also wanted a route to say when adjustments weren’t being implemented</w:t>
      </w:r>
      <w:r w:rsidR="00241A9B">
        <w:t>,</w:t>
      </w:r>
      <w:r w:rsidR="006563A9">
        <w:t xml:space="preserve"> or there were other issues. </w:t>
      </w:r>
      <w:r w:rsidR="00934284">
        <w:t>Partic</w:t>
      </w:r>
      <w:r w:rsidR="005D1333">
        <w:t xml:space="preserve">ipants wanted to know that they could trust staff to </w:t>
      </w:r>
      <w:r w:rsidR="006C51B9">
        <w:t>receive</w:t>
      </w:r>
      <w:r w:rsidR="005D1333">
        <w:t xml:space="preserve"> and read the learning contract and that it would be implemented</w:t>
      </w:r>
      <w:r w:rsidR="006C51B9">
        <w:t>.</w:t>
      </w:r>
    </w:p>
    <w:p w14:paraId="06596B50" w14:textId="77777777" w:rsidR="00C70575" w:rsidRDefault="00C70575" w:rsidP="00E630DA"/>
    <w:p w14:paraId="7430BE7F" w14:textId="5F111852" w:rsidR="00C70575" w:rsidRDefault="00C70575" w:rsidP="00C70575">
      <w:pPr>
        <w:ind w:left="720" w:right="1655"/>
      </w:pPr>
      <w:r>
        <w:rPr>
          <w:b/>
          <w:bCs/>
        </w:rPr>
        <w:lastRenderedPageBreak/>
        <w:t>“</w:t>
      </w:r>
      <w:proofErr w:type="gramStart"/>
      <w:r w:rsidRPr="00C70575">
        <w:rPr>
          <w:b/>
          <w:bCs/>
        </w:rPr>
        <w:t>if</w:t>
      </w:r>
      <w:proofErr w:type="gramEnd"/>
      <w:r w:rsidRPr="00C70575">
        <w:rPr>
          <w:b/>
          <w:bCs/>
        </w:rPr>
        <w:t xml:space="preserve"> I'm putting myself in to something then I want to know it’s being reciprocated back, so yeah, and I know if I have a bad day the university has got my back</w:t>
      </w:r>
      <w:r w:rsidRPr="00C70575">
        <w:t>.</w:t>
      </w:r>
      <w:r>
        <w:t>”</w:t>
      </w:r>
    </w:p>
    <w:p w14:paraId="3FD1AB38" w14:textId="16FF9B70" w:rsidR="00360DCA" w:rsidRDefault="00C70575" w:rsidP="00E630DA">
      <w:r>
        <w:tab/>
        <w:t>Participant Focus Group 1</w:t>
      </w:r>
    </w:p>
    <w:p w14:paraId="44025587" w14:textId="77777777" w:rsidR="0064374C" w:rsidRPr="00C70575" w:rsidRDefault="0064374C" w:rsidP="00E630DA"/>
    <w:p w14:paraId="631E21F6" w14:textId="3988084E" w:rsidR="00E630DA" w:rsidRPr="00360DCA" w:rsidRDefault="00360DCA" w:rsidP="00E630DA">
      <w:r>
        <w:t xml:space="preserve">The focus groups were well received and </w:t>
      </w:r>
      <w:r w:rsidR="002D281D">
        <w:t xml:space="preserve">appeared to have </w:t>
      </w:r>
      <w:r w:rsidR="00B81A9C">
        <w:t>positively impacted</w:t>
      </w:r>
      <w:r w:rsidR="00EA1576">
        <w:t xml:space="preserve"> the attendees. It raised awareness of </w:t>
      </w:r>
      <w:r w:rsidR="00B62095">
        <w:t xml:space="preserve">the inclusive practice and the support available, as well as </w:t>
      </w:r>
      <w:r w:rsidR="00F34772">
        <w:t>allowing students</w:t>
      </w:r>
      <w:r w:rsidR="00B62095">
        <w:t xml:space="preserve"> to be involved with the future support mechanism</w:t>
      </w:r>
      <w:r w:rsidR="00F34772">
        <w:t xml:space="preserve"> at the point of design. </w:t>
      </w:r>
    </w:p>
    <w:p w14:paraId="39C49278" w14:textId="77777777" w:rsidR="00E630DA" w:rsidRDefault="00E630DA" w:rsidP="0091371F"/>
    <w:p w14:paraId="734095D7" w14:textId="3F40A535" w:rsidR="00FA3E89" w:rsidRDefault="00FA3E89" w:rsidP="0091371F"/>
    <w:p w14:paraId="4CCCF5A5" w14:textId="3FD94771" w:rsidR="00FA3E89" w:rsidRDefault="00FA3E89" w:rsidP="00FA3E89">
      <w:pPr>
        <w:ind w:left="720" w:right="1655"/>
        <w:rPr>
          <w:rFonts w:ascii="Arial" w:hAnsi="Arial" w:cs="Arial"/>
          <w:b/>
          <w:bCs/>
          <w:color w:val="000000"/>
          <w:sz w:val="22"/>
          <w:lang w:eastAsia="en-GB"/>
        </w:rPr>
      </w:pPr>
      <w:r>
        <w:rPr>
          <w:rFonts w:ascii="Arial" w:hAnsi="Arial" w:cs="Arial"/>
          <w:b/>
          <w:bCs/>
          <w:color w:val="000000"/>
          <w:sz w:val="22"/>
          <w:lang w:eastAsia="en-GB"/>
        </w:rPr>
        <w:t>“</w:t>
      </w:r>
      <w:proofErr w:type="gramStart"/>
      <w:r w:rsidRPr="00FA3E89">
        <w:rPr>
          <w:b/>
          <w:bCs/>
          <w:lang w:eastAsia="en-GB"/>
        </w:rPr>
        <w:t>so</w:t>
      </w:r>
      <w:proofErr w:type="gramEnd"/>
      <w:r w:rsidRPr="00FA3E89">
        <w:rPr>
          <w:b/>
          <w:bCs/>
          <w:lang w:eastAsia="en-GB"/>
        </w:rPr>
        <w:t xml:space="preserve"> final thoughts I would say that first of all it’s great that the university is getting us to have these discussions because there is always going to be like something that people want to share, because the environment is always changing and I think that we need to take in to consideration all aspects of university life and how accessible they may be</w:t>
      </w:r>
      <w:r w:rsidR="00F34772" w:rsidRPr="0064374C">
        <w:rPr>
          <w:b/>
          <w:bCs/>
        </w:rPr>
        <w:t>.</w:t>
      </w:r>
    </w:p>
    <w:p w14:paraId="19CCDDEB" w14:textId="5F4FA3BA" w:rsidR="00FA3E89" w:rsidRPr="00FA3E89" w:rsidRDefault="00FA3E89" w:rsidP="00FA3E89">
      <w:pPr>
        <w:ind w:left="720" w:right="1655"/>
        <w:rPr>
          <w:rFonts w:ascii="Arial" w:hAnsi="Arial" w:cs="Arial"/>
          <w:color w:val="000000"/>
          <w:sz w:val="22"/>
          <w:lang w:eastAsia="en-GB"/>
        </w:rPr>
      </w:pPr>
      <w:r w:rsidRPr="00FA3E89">
        <w:rPr>
          <w:rFonts w:ascii="Arial" w:hAnsi="Arial" w:cs="Arial"/>
          <w:color w:val="000000"/>
          <w:sz w:val="22"/>
          <w:lang w:eastAsia="en-GB"/>
        </w:rPr>
        <w:t>Participant Focus Group 2</w:t>
      </w:r>
    </w:p>
    <w:p w14:paraId="08861246" w14:textId="77777777" w:rsidR="00FA3E89" w:rsidRDefault="00FA3E89" w:rsidP="0091371F"/>
    <w:p w14:paraId="23B89B74" w14:textId="305CA79C" w:rsidR="00B62095" w:rsidRDefault="00B62095" w:rsidP="0091371F">
      <w:pPr>
        <w:rPr>
          <w:b/>
          <w:bCs/>
        </w:rPr>
      </w:pPr>
      <w:r w:rsidRPr="006845F4">
        <w:rPr>
          <w:b/>
          <w:bCs/>
        </w:rPr>
        <w:t xml:space="preserve">Recommendation 6 – Create a disabled student panel to </w:t>
      </w:r>
      <w:r w:rsidR="003B43F5" w:rsidRPr="006845F4">
        <w:rPr>
          <w:b/>
          <w:bCs/>
        </w:rPr>
        <w:t>run throughout the year and create a more inclusive and collaborative</w:t>
      </w:r>
      <w:r w:rsidR="006845F4" w:rsidRPr="006845F4">
        <w:rPr>
          <w:b/>
          <w:bCs/>
        </w:rPr>
        <w:t xml:space="preserve"> feedback loop. </w:t>
      </w:r>
      <w:r w:rsidR="003B43F5" w:rsidRPr="006845F4">
        <w:rPr>
          <w:b/>
          <w:bCs/>
        </w:rPr>
        <w:t xml:space="preserve"> </w:t>
      </w:r>
    </w:p>
    <w:p w14:paraId="40BA463C" w14:textId="77777777" w:rsidR="0064374C" w:rsidRDefault="0064374C" w:rsidP="0091371F">
      <w:pPr>
        <w:rPr>
          <w:b/>
          <w:bCs/>
        </w:rPr>
      </w:pPr>
    </w:p>
    <w:p w14:paraId="4229AD2C" w14:textId="5996078B" w:rsidR="0064374C" w:rsidRDefault="0064374C" w:rsidP="0064374C">
      <w:pPr>
        <w:pStyle w:val="Heading1"/>
      </w:pPr>
      <w:r w:rsidRPr="0064374C">
        <w:t>Conclusion</w:t>
      </w:r>
      <w:r w:rsidR="00B00EF0">
        <w:t xml:space="preserve"> and recommendations</w:t>
      </w:r>
    </w:p>
    <w:p w14:paraId="1D53245A" w14:textId="77777777" w:rsidR="009734DE" w:rsidRDefault="009734DE" w:rsidP="009734DE"/>
    <w:p w14:paraId="1BBFF014" w14:textId="6067F81D" w:rsidR="009734DE" w:rsidRDefault="009734DE" w:rsidP="009734DE">
      <w:r>
        <w:t>It was a positive experience to involve students in the review of the learning contract</w:t>
      </w:r>
      <w:r w:rsidR="000D5622">
        <w:t>. Many</w:t>
      </w:r>
      <w:r>
        <w:t xml:space="preserve"> of the themes </w:t>
      </w:r>
      <w:r w:rsidR="000D5622">
        <w:t>are echoed in the disabled student support survey</w:t>
      </w:r>
      <w:r w:rsidR="004A03B6">
        <w:t>,</w:t>
      </w:r>
      <w:r w:rsidR="000D5622">
        <w:t xml:space="preserve"> and </w:t>
      </w:r>
      <w:r w:rsidR="004A03B6">
        <w:t xml:space="preserve">there are some easily identifiable recommendations. The next step is to </w:t>
      </w:r>
      <w:r w:rsidR="00A97E7B">
        <w:t>provide feedback on</w:t>
      </w:r>
      <w:r w:rsidR="004A03B6">
        <w:t xml:space="preserve"> the project</w:t>
      </w:r>
      <w:r w:rsidR="00A97E7B">
        <w:t xml:space="preserve"> and improve the student experience. </w:t>
      </w:r>
    </w:p>
    <w:p w14:paraId="79D092EC" w14:textId="77777777" w:rsidR="00A97E7B" w:rsidRDefault="00A97E7B" w:rsidP="009734DE"/>
    <w:p w14:paraId="3800753A" w14:textId="77777777" w:rsidR="00A97E7B" w:rsidRDefault="00A97E7B" w:rsidP="009734DE"/>
    <w:p w14:paraId="3FA30B27" w14:textId="77777777" w:rsidR="00A97E7B" w:rsidRPr="00B00EF0" w:rsidRDefault="00A97E7B" w:rsidP="00B00EF0">
      <w:pPr>
        <w:pStyle w:val="ListParagraph"/>
        <w:numPr>
          <w:ilvl w:val="0"/>
          <w:numId w:val="5"/>
        </w:numPr>
        <w:rPr>
          <w:b/>
          <w:bCs/>
        </w:rPr>
      </w:pPr>
      <w:r w:rsidRPr="00B00EF0">
        <w:rPr>
          <w:b/>
          <w:bCs/>
        </w:rPr>
        <w:t>Recommendation 1: Review the communications about disability and inclusive support at Hallam.</w:t>
      </w:r>
    </w:p>
    <w:p w14:paraId="1A3CA6B7" w14:textId="77777777" w:rsidR="00A97E7B" w:rsidRDefault="00A97E7B" w:rsidP="009734DE"/>
    <w:p w14:paraId="28237AD3" w14:textId="024FF020" w:rsidR="00A97E7B" w:rsidRPr="00B00EF0" w:rsidRDefault="00A97E7B" w:rsidP="00B00EF0">
      <w:pPr>
        <w:pStyle w:val="ListParagraph"/>
        <w:numPr>
          <w:ilvl w:val="0"/>
          <w:numId w:val="5"/>
        </w:numPr>
        <w:rPr>
          <w:b/>
          <w:bCs/>
        </w:rPr>
      </w:pPr>
      <w:r w:rsidRPr="00B00EF0">
        <w:rPr>
          <w:b/>
          <w:bCs/>
        </w:rPr>
        <w:t>Recommendation 2 – Rename and rebrand and relaunch the Learning Contract</w:t>
      </w:r>
    </w:p>
    <w:p w14:paraId="79ED5E6D" w14:textId="77777777" w:rsidR="00A97E7B" w:rsidRDefault="00A97E7B" w:rsidP="009734DE">
      <w:pPr>
        <w:rPr>
          <w:b/>
          <w:bCs/>
        </w:rPr>
      </w:pPr>
    </w:p>
    <w:p w14:paraId="2A2FC8DB" w14:textId="77777777" w:rsidR="00A97E7B" w:rsidRPr="00B00EF0" w:rsidRDefault="00A97E7B" w:rsidP="00B00EF0">
      <w:pPr>
        <w:pStyle w:val="ListParagraph"/>
        <w:numPr>
          <w:ilvl w:val="0"/>
          <w:numId w:val="5"/>
        </w:numPr>
        <w:rPr>
          <w:b/>
          <w:bCs/>
        </w:rPr>
      </w:pPr>
      <w:r w:rsidRPr="00B00EF0">
        <w:rPr>
          <w:b/>
          <w:bCs/>
        </w:rPr>
        <w:t>Recommendation 3: Agree on the Baseline Inclusive Measures as a Hallam standard and promote this widely to staff and students for an equitable experience.</w:t>
      </w:r>
    </w:p>
    <w:p w14:paraId="6A110669" w14:textId="77777777" w:rsidR="00A97E7B" w:rsidRDefault="00A97E7B" w:rsidP="009734DE"/>
    <w:p w14:paraId="12C07239" w14:textId="77777777" w:rsidR="00A97E7B" w:rsidRDefault="00A97E7B" w:rsidP="00B00EF0">
      <w:pPr>
        <w:pStyle w:val="ListParagraph"/>
        <w:numPr>
          <w:ilvl w:val="0"/>
          <w:numId w:val="5"/>
        </w:numPr>
        <w:rPr>
          <w:b/>
          <w:bCs/>
          <w:lang w:eastAsia="en-GB"/>
        </w:rPr>
      </w:pPr>
      <w:r w:rsidRPr="00B00EF0">
        <w:rPr>
          <w:b/>
          <w:bCs/>
          <w:lang w:eastAsia="en-GB"/>
        </w:rPr>
        <w:lastRenderedPageBreak/>
        <w:t>Recommendation 4: Improve the information and guidance to support students on placement.</w:t>
      </w:r>
    </w:p>
    <w:p w14:paraId="4640301D" w14:textId="77777777" w:rsidR="00B00EF0" w:rsidRPr="00B00EF0" w:rsidRDefault="00B00EF0" w:rsidP="00B00EF0">
      <w:pPr>
        <w:pStyle w:val="ListParagraph"/>
        <w:rPr>
          <w:b/>
          <w:bCs/>
          <w:lang w:eastAsia="en-GB"/>
        </w:rPr>
      </w:pPr>
    </w:p>
    <w:p w14:paraId="49E3E11F" w14:textId="77777777" w:rsidR="00B00EF0" w:rsidRPr="00B00EF0" w:rsidRDefault="00B00EF0" w:rsidP="00B00EF0">
      <w:pPr>
        <w:pStyle w:val="ListParagraph"/>
        <w:rPr>
          <w:b/>
          <w:bCs/>
          <w:lang w:eastAsia="en-GB"/>
        </w:rPr>
      </w:pPr>
    </w:p>
    <w:p w14:paraId="08ECF230" w14:textId="77777777" w:rsidR="00B00EF0" w:rsidRPr="00B00EF0" w:rsidRDefault="00B00EF0" w:rsidP="00B00EF0">
      <w:pPr>
        <w:pStyle w:val="ListParagraph"/>
        <w:numPr>
          <w:ilvl w:val="0"/>
          <w:numId w:val="5"/>
        </w:numPr>
        <w:rPr>
          <w:b/>
          <w:bCs/>
        </w:rPr>
      </w:pPr>
      <w:r w:rsidRPr="00B00EF0">
        <w:rPr>
          <w:b/>
          <w:bCs/>
        </w:rPr>
        <w:t xml:space="preserve">Recommendation 5. Reasonable Adjustments and Inclusive Practice policy and a training program for academic staff. </w:t>
      </w:r>
    </w:p>
    <w:p w14:paraId="2E12239C" w14:textId="77777777" w:rsidR="00B00EF0" w:rsidRPr="00DA3885" w:rsidRDefault="00B00EF0" w:rsidP="00A97E7B">
      <w:pPr>
        <w:rPr>
          <w:b/>
          <w:bCs/>
          <w:lang w:eastAsia="en-GB"/>
        </w:rPr>
      </w:pPr>
    </w:p>
    <w:p w14:paraId="3478C1F8" w14:textId="77777777" w:rsidR="00B00EF0" w:rsidRDefault="00B00EF0" w:rsidP="00B00EF0"/>
    <w:p w14:paraId="17B61971" w14:textId="77777777" w:rsidR="00B00EF0" w:rsidRPr="00B00EF0" w:rsidRDefault="00B00EF0" w:rsidP="00B00EF0">
      <w:pPr>
        <w:pStyle w:val="ListParagraph"/>
        <w:numPr>
          <w:ilvl w:val="0"/>
          <w:numId w:val="5"/>
        </w:numPr>
        <w:rPr>
          <w:b/>
          <w:bCs/>
        </w:rPr>
      </w:pPr>
      <w:r w:rsidRPr="00B00EF0">
        <w:rPr>
          <w:b/>
          <w:bCs/>
        </w:rPr>
        <w:t xml:space="preserve">Recommendation 6 – Create a disabled student panel to run throughout the year and create a more inclusive and collaborative feedback loop.  </w:t>
      </w:r>
    </w:p>
    <w:p w14:paraId="1584626B" w14:textId="77777777" w:rsidR="00A97E7B" w:rsidRPr="009734DE" w:rsidRDefault="00A97E7B" w:rsidP="009734DE"/>
    <w:sectPr w:rsidR="00A97E7B" w:rsidRPr="009734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D213" w14:textId="77777777" w:rsidR="004C2A22" w:rsidRDefault="004C2A22" w:rsidP="00CA4DE0">
      <w:r>
        <w:separator/>
      </w:r>
    </w:p>
  </w:endnote>
  <w:endnote w:type="continuationSeparator" w:id="0">
    <w:p w14:paraId="012C85C6" w14:textId="77777777" w:rsidR="004C2A22" w:rsidRDefault="004C2A22" w:rsidP="00CA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8B92" w14:textId="795356F9" w:rsidR="00B742A4" w:rsidRDefault="00B742A4">
    <w:pPr>
      <w:pStyle w:val="Footer"/>
    </w:pPr>
    <w:r>
      <w:t>Report produced by Marissa Hill,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EDC7E" w14:textId="77777777" w:rsidR="004C2A22" w:rsidRDefault="004C2A22" w:rsidP="00CA4DE0">
      <w:r>
        <w:separator/>
      </w:r>
    </w:p>
  </w:footnote>
  <w:footnote w:type="continuationSeparator" w:id="0">
    <w:p w14:paraId="11FA3B94" w14:textId="77777777" w:rsidR="004C2A22" w:rsidRDefault="004C2A22" w:rsidP="00CA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F5B4C1" w14:paraId="78F83F94" w14:textId="77777777" w:rsidTr="36F5B4C1">
      <w:trPr>
        <w:trHeight w:val="300"/>
      </w:trPr>
      <w:tc>
        <w:tcPr>
          <w:tcW w:w="3005" w:type="dxa"/>
        </w:tcPr>
        <w:p w14:paraId="099E4AE1" w14:textId="271775AD" w:rsidR="36F5B4C1" w:rsidRDefault="36F5B4C1" w:rsidP="36F5B4C1">
          <w:pPr>
            <w:pStyle w:val="Header"/>
            <w:ind w:left="-115"/>
          </w:pPr>
        </w:p>
      </w:tc>
      <w:tc>
        <w:tcPr>
          <w:tcW w:w="3005" w:type="dxa"/>
        </w:tcPr>
        <w:p w14:paraId="34844BD7" w14:textId="0ACAB78D" w:rsidR="36F5B4C1" w:rsidRDefault="36F5B4C1" w:rsidP="36F5B4C1">
          <w:pPr>
            <w:pStyle w:val="Header"/>
            <w:jc w:val="center"/>
          </w:pPr>
        </w:p>
      </w:tc>
      <w:tc>
        <w:tcPr>
          <w:tcW w:w="3005" w:type="dxa"/>
        </w:tcPr>
        <w:p w14:paraId="10F378A4" w14:textId="51F02315" w:rsidR="36F5B4C1" w:rsidRDefault="36F5B4C1" w:rsidP="36F5B4C1">
          <w:pPr>
            <w:pStyle w:val="Header"/>
            <w:ind w:right="-115"/>
            <w:jc w:val="right"/>
          </w:pPr>
        </w:p>
      </w:tc>
    </w:tr>
  </w:tbl>
  <w:p w14:paraId="06A24814" w14:textId="65E83B7B" w:rsidR="36F5B4C1" w:rsidRDefault="36F5B4C1" w:rsidP="36F5B4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DA2"/>
    <w:multiLevelType w:val="hybridMultilevel"/>
    <w:tmpl w:val="F546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73300F"/>
    <w:multiLevelType w:val="hybridMultilevel"/>
    <w:tmpl w:val="4A0AC8EE"/>
    <w:lvl w:ilvl="0" w:tplc="08090001">
      <w:start w:val="1"/>
      <w:numFmt w:val="bullet"/>
      <w:lvlText w:val=""/>
      <w:lvlJc w:val="left"/>
      <w:pPr>
        <w:ind w:left="43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E52D49"/>
    <w:multiLevelType w:val="hybridMultilevel"/>
    <w:tmpl w:val="FB72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057F3"/>
    <w:multiLevelType w:val="hybridMultilevel"/>
    <w:tmpl w:val="B596C3A0"/>
    <w:lvl w:ilvl="0" w:tplc="C49E7B14">
      <w:numFmt w:val="bullet"/>
      <w:lvlText w:val="-"/>
      <w:lvlJc w:val="left"/>
      <w:pPr>
        <w:ind w:left="43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726D2"/>
    <w:multiLevelType w:val="hybridMultilevel"/>
    <w:tmpl w:val="44C831FA"/>
    <w:lvl w:ilvl="0" w:tplc="C49E7B14">
      <w:numFmt w:val="bullet"/>
      <w:lvlText w:val="-"/>
      <w:lvlJc w:val="left"/>
      <w:pPr>
        <w:ind w:left="430" w:hanging="360"/>
      </w:pPr>
      <w:rPr>
        <w:rFonts w:ascii="Segoe UI" w:eastAsia="Times New Roman" w:hAnsi="Segoe UI" w:cs="Segoe UI"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16cid:durableId="936017035">
    <w:abstractNumId w:val="2"/>
  </w:num>
  <w:num w:numId="2" w16cid:durableId="951666504">
    <w:abstractNumId w:val="4"/>
  </w:num>
  <w:num w:numId="3" w16cid:durableId="1757363153">
    <w:abstractNumId w:val="3"/>
  </w:num>
  <w:num w:numId="4" w16cid:durableId="1713655583">
    <w:abstractNumId w:val="1"/>
  </w:num>
  <w:num w:numId="5" w16cid:durableId="1461145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68"/>
    <w:rsid w:val="00001E7B"/>
    <w:rsid w:val="0000602F"/>
    <w:rsid w:val="000228C5"/>
    <w:rsid w:val="00023BA3"/>
    <w:rsid w:val="00024C33"/>
    <w:rsid w:val="00037919"/>
    <w:rsid w:val="0004042E"/>
    <w:rsid w:val="00041B2D"/>
    <w:rsid w:val="00053444"/>
    <w:rsid w:val="0006530A"/>
    <w:rsid w:val="00066EB1"/>
    <w:rsid w:val="0007170D"/>
    <w:rsid w:val="00086B1D"/>
    <w:rsid w:val="00093440"/>
    <w:rsid w:val="00094C33"/>
    <w:rsid w:val="00095F32"/>
    <w:rsid w:val="000B5A79"/>
    <w:rsid w:val="000B6A81"/>
    <w:rsid w:val="000D0839"/>
    <w:rsid w:val="000D5622"/>
    <w:rsid w:val="000D6F83"/>
    <w:rsid w:val="000E0884"/>
    <w:rsid w:val="000E5FAC"/>
    <w:rsid w:val="000F1E8D"/>
    <w:rsid w:val="001010C7"/>
    <w:rsid w:val="00107704"/>
    <w:rsid w:val="00115A8F"/>
    <w:rsid w:val="0012231E"/>
    <w:rsid w:val="00131649"/>
    <w:rsid w:val="00132F43"/>
    <w:rsid w:val="00134750"/>
    <w:rsid w:val="00146F05"/>
    <w:rsid w:val="00151541"/>
    <w:rsid w:val="001559FA"/>
    <w:rsid w:val="001615EB"/>
    <w:rsid w:val="00164A18"/>
    <w:rsid w:val="00175144"/>
    <w:rsid w:val="0019164C"/>
    <w:rsid w:val="001A1667"/>
    <w:rsid w:val="001B113F"/>
    <w:rsid w:val="001C21AF"/>
    <w:rsid w:val="001D1A7B"/>
    <w:rsid w:val="001E7277"/>
    <w:rsid w:val="001F322D"/>
    <w:rsid w:val="001F481F"/>
    <w:rsid w:val="002037D2"/>
    <w:rsid w:val="00205DE8"/>
    <w:rsid w:val="00212999"/>
    <w:rsid w:val="00216D54"/>
    <w:rsid w:val="00217E21"/>
    <w:rsid w:val="00221B13"/>
    <w:rsid w:val="00225631"/>
    <w:rsid w:val="00225F11"/>
    <w:rsid w:val="00226A71"/>
    <w:rsid w:val="00240959"/>
    <w:rsid w:val="00240A37"/>
    <w:rsid w:val="00241A9B"/>
    <w:rsid w:val="002550FD"/>
    <w:rsid w:val="00261540"/>
    <w:rsid w:val="0027063C"/>
    <w:rsid w:val="00271000"/>
    <w:rsid w:val="00274A98"/>
    <w:rsid w:val="00282D00"/>
    <w:rsid w:val="00296D99"/>
    <w:rsid w:val="002A0A7B"/>
    <w:rsid w:val="002A17A0"/>
    <w:rsid w:val="002A2462"/>
    <w:rsid w:val="002A4E72"/>
    <w:rsid w:val="002C5119"/>
    <w:rsid w:val="002D020F"/>
    <w:rsid w:val="002D281D"/>
    <w:rsid w:val="002E013E"/>
    <w:rsid w:val="003007E7"/>
    <w:rsid w:val="00301C37"/>
    <w:rsid w:val="003025AC"/>
    <w:rsid w:val="0031745B"/>
    <w:rsid w:val="00320A70"/>
    <w:rsid w:val="00330E5A"/>
    <w:rsid w:val="00331626"/>
    <w:rsid w:val="00334B5A"/>
    <w:rsid w:val="00334C55"/>
    <w:rsid w:val="00336784"/>
    <w:rsid w:val="003417B3"/>
    <w:rsid w:val="003461D2"/>
    <w:rsid w:val="00346650"/>
    <w:rsid w:val="00360DCA"/>
    <w:rsid w:val="00371063"/>
    <w:rsid w:val="00376B61"/>
    <w:rsid w:val="00377718"/>
    <w:rsid w:val="003817FA"/>
    <w:rsid w:val="00385A43"/>
    <w:rsid w:val="00387202"/>
    <w:rsid w:val="00391279"/>
    <w:rsid w:val="00391312"/>
    <w:rsid w:val="003A162A"/>
    <w:rsid w:val="003A2064"/>
    <w:rsid w:val="003A35FA"/>
    <w:rsid w:val="003B3950"/>
    <w:rsid w:val="003B43F5"/>
    <w:rsid w:val="003C5AD5"/>
    <w:rsid w:val="003D6369"/>
    <w:rsid w:val="003D7FAF"/>
    <w:rsid w:val="003E3FD3"/>
    <w:rsid w:val="003E4F47"/>
    <w:rsid w:val="003F4E29"/>
    <w:rsid w:val="003F752E"/>
    <w:rsid w:val="00405BE8"/>
    <w:rsid w:val="004172C9"/>
    <w:rsid w:val="00447B40"/>
    <w:rsid w:val="00452487"/>
    <w:rsid w:val="0046080A"/>
    <w:rsid w:val="0046387B"/>
    <w:rsid w:val="004674D1"/>
    <w:rsid w:val="00472017"/>
    <w:rsid w:val="00476155"/>
    <w:rsid w:val="00490F2F"/>
    <w:rsid w:val="0049638E"/>
    <w:rsid w:val="004A03B6"/>
    <w:rsid w:val="004A5C9E"/>
    <w:rsid w:val="004B2A86"/>
    <w:rsid w:val="004C2A22"/>
    <w:rsid w:val="004C3268"/>
    <w:rsid w:val="004C5E0A"/>
    <w:rsid w:val="004C7438"/>
    <w:rsid w:val="004C7612"/>
    <w:rsid w:val="004D24E1"/>
    <w:rsid w:val="004E3950"/>
    <w:rsid w:val="004E6C14"/>
    <w:rsid w:val="004F437A"/>
    <w:rsid w:val="004F5B2D"/>
    <w:rsid w:val="00504924"/>
    <w:rsid w:val="00504DF8"/>
    <w:rsid w:val="00514B2B"/>
    <w:rsid w:val="005258B8"/>
    <w:rsid w:val="00567532"/>
    <w:rsid w:val="00567776"/>
    <w:rsid w:val="00570EB4"/>
    <w:rsid w:val="00572E56"/>
    <w:rsid w:val="00586A0B"/>
    <w:rsid w:val="00595498"/>
    <w:rsid w:val="005A7733"/>
    <w:rsid w:val="005B0EDD"/>
    <w:rsid w:val="005C4B45"/>
    <w:rsid w:val="005C6249"/>
    <w:rsid w:val="005D1333"/>
    <w:rsid w:val="005D7F5D"/>
    <w:rsid w:val="005E1F19"/>
    <w:rsid w:val="005E57FE"/>
    <w:rsid w:val="005E6035"/>
    <w:rsid w:val="005E627E"/>
    <w:rsid w:val="005E7A79"/>
    <w:rsid w:val="006024E4"/>
    <w:rsid w:val="00605B10"/>
    <w:rsid w:val="00607544"/>
    <w:rsid w:val="006308B7"/>
    <w:rsid w:val="00630DE2"/>
    <w:rsid w:val="00637808"/>
    <w:rsid w:val="0064374C"/>
    <w:rsid w:val="0065343B"/>
    <w:rsid w:val="00655CF4"/>
    <w:rsid w:val="006563A9"/>
    <w:rsid w:val="006619AA"/>
    <w:rsid w:val="0066383C"/>
    <w:rsid w:val="00663CBA"/>
    <w:rsid w:val="00666675"/>
    <w:rsid w:val="00682C4E"/>
    <w:rsid w:val="00683783"/>
    <w:rsid w:val="006845F4"/>
    <w:rsid w:val="00692652"/>
    <w:rsid w:val="006955A1"/>
    <w:rsid w:val="006A347A"/>
    <w:rsid w:val="006A61E1"/>
    <w:rsid w:val="006C51B9"/>
    <w:rsid w:val="006D5425"/>
    <w:rsid w:val="006D7331"/>
    <w:rsid w:val="006E4A1C"/>
    <w:rsid w:val="006E572A"/>
    <w:rsid w:val="00714DA2"/>
    <w:rsid w:val="007251CF"/>
    <w:rsid w:val="00727E9C"/>
    <w:rsid w:val="00730538"/>
    <w:rsid w:val="007339D5"/>
    <w:rsid w:val="007429F9"/>
    <w:rsid w:val="00744C5C"/>
    <w:rsid w:val="00757458"/>
    <w:rsid w:val="00762C10"/>
    <w:rsid w:val="0076377D"/>
    <w:rsid w:val="0077135E"/>
    <w:rsid w:val="0077312D"/>
    <w:rsid w:val="00777BD8"/>
    <w:rsid w:val="0079004E"/>
    <w:rsid w:val="007905C7"/>
    <w:rsid w:val="007A411E"/>
    <w:rsid w:val="007A46BC"/>
    <w:rsid w:val="007A4C2F"/>
    <w:rsid w:val="007A4F18"/>
    <w:rsid w:val="007B28AF"/>
    <w:rsid w:val="007B5E8A"/>
    <w:rsid w:val="007B5EDF"/>
    <w:rsid w:val="007C15CC"/>
    <w:rsid w:val="007C2897"/>
    <w:rsid w:val="007E0A77"/>
    <w:rsid w:val="007E51DE"/>
    <w:rsid w:val="007E682F"/>
    <w:rsid w:val="007F2EBE"/>
    <w:rsid w:val="007F532F"/>
    <w:rsid w:val="007F6B1F"/>
    <w:rsid w:val="008046CD"/>
    <w:rsid w:val="008057E9"/>
    <w:rsid w:val="00805BB2"/>
    <w:rsid w:val="008072F3"/>
    <w:rsid w:val="0081758F"/>
    <w:rsid w:val="008320E3"/>
    <w:rsid w:val="008604F6"/>
    <w:rsid w:val="0087610F"/>
    <w:rsid w:val="008805FE"/>
    <w:rsid w:val="008D4264"/>
    <w:rsid w:val="008E72BE"/>
    <w:rsid w:val="008F141B"/>
    <w:rsid w:val="008F31CD"/>
    <w:rsid w:val="009004AA"/>
    <w:rsid w:val="009036B3"/>
    <w:rsid w:val="0091371F"/>
    <w:rsid w:val="00930B65"/>
    <w:rsid w:val="00934284"/>
    <w:rsid w:val="00936B70"/>
    <w:rsid w:val="00953DC8"/>
    <w:rsid w:val="00956248"/>
    <w:rsid w:val="0096673F"/>
    <w:rsid w:val="00971C6E"/>
    <w:rsid w:val="009734DE"/>
    <w:rsid w:val="00985217"/>
    <w:rsid w:val="00991C20"/>
    <w:rsid w:val="0099458E"/>
    <w:rsid w:val="00995EC0"/>
    <w:rsid w:val="009B70CE"/>
    <w:rsid w:val="009C033E"/>
    <w:rsid w:val="009C23D2"/>
    <w:rsid w:val="00A0038D"/>
    <w:rsid w:val="00A05A16"/>
    <w:rsid w:val="00A10122"/>
    <w:rsid w:val="00A2092A"/>
    <w:rsid w:val="00A243F8"/>
    <w:rsid w:val="00A24B31"/>
    <w:rsid w:val="00A2519A"/>
    <w:rsid w:val="00A26D6B"/>
    <w:rsid w:val="00A358D9"/>
    <w:rsid w:val="00A36D76"/>
    <w:rsid w:val="00A5573E"/>
    <w:rsid w:val="00A749F6"/>
    <w:rsid w:val="00A76BA8"/>
    <w:rsid w:val="00A93FE7"/>
    <w:rsid w:val="00A95EB4"/>
    <w:rsid w:val="00A97E7B"/>
    <w:rsid w:val="00AA2453"/>
    <w:rsid w:val="00AB2389"/>
    <w:rsid w:val="00AB2899"/>
    <w:rsid w:val="00AC2D94"/>
    <w:rsid w:val="00AC3A9F"/>
    <w:rsid w:val="00AC451B"/>
    <w:rsid w:val="00AD1033"/>
    <w:rsid w:val="00AD2283"/>
    <w:rsid w:val="00AD6069"/>
    <w:rsid w:val="00AE5BF1"/>
    <w:rsid w:val="00AF78A3"/>
    <w:rsid w:val="00AF7DEC"/>
    <w:rsid w:val="00B00EF0"/>
    <w:rsid w:val="00B0145F"/>
    <w:rsid w:val="00B075CF"/>
    <w:rsid w:val="00B12E88"/>
    <w:rsid w:val="00B20878"/>
    <w:rsid w:val="00B23132"/>
    <w:rsid w:val="00B24642"/>
    <w:rsid w:val="00B40E15"/>
    <w:rsid w:val="00B413AB"/>
    <w:rsid w:val="00B55C86"/>
    <w:rsid w:val="00B62095"/>
    <w:rsid w:val="00B64DC5"/>
    <w:rsid w:val="00B728D4"/>
    <w:rsid w:val="00B742A4"/>
    <w:rsid w:val="00B75B04"/>
    <w:rsid w:val="00B81A9C"/>
    <w:rsid w:val="00B96406"/>
    <w:rsid w:val="00BB0109"/>
    <w:rsid w:val="00BB3EE4"/>
    <w:rsid w:val="00BB6659"/>
    <w:rsid w:val="00BB7B8C"/>
    <w:rsid w:val="00BD5B50"/>
    <w:rsid w:val="00BF432D"/>
    <w:rsid w:val="00BF59E8"/>
    <w:rsid w:val="00C01ADF"/>
    <w:rsid w:val="00C14D91"/>
    <w:rsid w:val="00C24D3C"/>
    <w:rsid w:val="00C30672"/>
    <w:rsid w:val="00C45F20"/>
    <w:rsid w:val="00C521BE"/>
    <w:rsid w:val="00C61A81"/>
    <w:rsid w:val="00C6617D"/>
    <w:rsid w:val="00C70575"/>
    <w:rsid w:val="00C8233B"/>
    <w:rsid w:val="00C912B5"/>
    <w:rsid w:val="00C928A7"/>
    <w:rsid w:val="00C9581A"/>
    <w:rsid w:val="00C96BC8"/>
    <w:rsid w:val="00CA4DE0"/>
    <w:rsid w:val="00CB1B39"/>
    <w:rsid w:val="00CB2C75"/>
    <w:rsid w:val="00CB374A"/>
    <w:rsid w:val="00CB4413"/>
    <w:rsid w:val="00CB50BC"/>
    <w:rsid w:val="00CB6435"/>
    <w:rsid w:val="00CC4967"/>
    <w:rsid w:val="00CC5941"/>
    <w:rsid w:val="00CD02AC"/>
    <w:rsid w:val="00CE39E7"/>
    <w:rsid w:val="00CF1ED2"/>
    <w:rsid w:val="00CF5363"/>
    <w:rsid w:val="00D0083C"/>
    <w:rsid w:val="00D12FBF"/>
    <w:rsid w:val="00D20474"/>
    <w:rsid w:val="00D246A5"/>
    <w:rsid w:val="00D31487"/>
    <w:rsid w:val="00D40180"/>
    <w:rsid w:val="00D45A4F"/>
    <w:rsid w:val="00D5400B"/>
    <w:rsid w:val="00D57F26"/>
    <w:rsid w:val="00D62FB4"/>
    <w:rsid w:val="00D73E3F"/>
    <w:rsid w:val="00D80D79"/>
    <w:rsid w:val="00D81E5D"/>
    <w:rsid w:val="00D81F6B"/>
    <w:rsid w:val="00D93574"/>
    <w:rsid w:val="00D9359C"/>
    <w:rsid w:val="00DA3885"/>
    <w:rsid w:val="00DB117D"/>
    <w:rsid w:val="00DE301D"/>
    <w:rsid w:val="00DF195E"/>
    <w:rsid w:val="00DF2B2A"/>
    <w:rsid w:val="00E04C58"/>
    <w:rsid w:val="00E058AE"/>
    <w:rsid w:val="00E07AB6"/>
    <w:rsid w:val="00E137FA"/>
    <w:rsid w:val="00E1691C"/>
    <w:rsid w:val="00E17D74"/>
    <w:rsid w:val="00E24A21"/>
    <w:rsid w:val="00E312AF"/>
    <w:rsid w:val="00E52DDA"/>
    <w:rsid w:val="00E62FE4"/>
    <w:rsid w:val="00E630DA"/>
    <w:rsid w:val="00E666F5"/>
    <w:rsid w:val="00E74B71"/>
    <w:rsid w:val="00E83929"/>
    <w:rsid w:val="00E95D86"/>
    <w:rsid w:val="00EA1576"/>
    <w:rsid w:val="00EA2018"/>
    <w:rsid w:val="00EA26D8"/>
    <w:rsid w:val="00EB017B"/>
    <w:rsid w:val="00EB276D"/>
    <w:rsid w:val="00EC48D3"/>
    <w:rsid w:val="00ED74B3"/>
    <w:rsid w:val="00F03306"/>
    <w:rsid w:val="00F1296E"/>
    <w:rsid w:val="00F17FEA"/>
    <w:rsid w:val="00F2086C"/>
    <w:rsid w:val="00F25C22"/>
    <w:rsid w:val="00F27590"/>
    <w:rsid w:val="00F30481"/>
    <w:rsid w:val="00F30F8E"/>
    <w:rsid w:val="00F34772"/>
    <w:rsid w:val="00F40B89"/>
    <w:rsid w:val="00F46709"/>
    <w:rsid w:val="00F46BA0"/>
    <w:rsid w:val="00F51F95"/>
    <w:rsid w:val="00F73000"/>
    <w:rsid w:val="00F83847"/>
    <w:rsid w:val="00F96895"/>
    <w:rsid w:val="00FA3850"/>
    <w:rsid w:val="00FA3E89"/>
    <w:rsid w:val="00FA43D7"/>
    <w:rsid w:val="00FA7B64"/>
    <w:rsid w:val="00FB468D"/>
    <w:rsid w:val="00FB6FC8"/>
    <w:rsid w:val="00FC09E3"/>
    <w:rsid w:val="00FC787F"/>
    <w:rsid w:val="00FD22F8"/>
    <w:rsid w:val="00FD61EB"/>
    <w:rsid w:val="00FD6FF6"/>
    <w:rsid w:val="00FF06CE"/>
    <w:rsid w:val="00FF3A49"/>
    <w:rsid w:val="00FF460A"/>
    <w:rsid w:val="0369ACBB"/>
    <w:rsid w:val="0FBF28F7"/>
    <w:rsid w:val="11AD8653"/>
    <w:rsid w:val="134813D9"/>
    <w:rsid w:val="2BF299FE"/>
    <w:rsid w:val="36F5B4C1"/>
    <w:rsid w:val="4E578C92"/>
    <w:rsid w:val="53B5BEB2"/>
    <w:rsid w:val="5439F0D4"/>
    <w:rsid w:val="61EAF1A0"/>
    <w:rsid w:val="62DEC18E"/>
    <w:rsid w:val="713FE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397B6"/>
  <w15:chartTrackingRefBased/>
  <w15:docId w15:val="{0ED6C11D-0B37-4F1F-96CE-4F915DBA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5E"/>
    <w:pPr>
      <w:spacing w:after="0" w:line="240" w:lineRule="auto"/>
    </w:pPr>
    <w:rPr>
      <w:rFonts w:ascii="Segoe UI" w:hAnsi="Segoe UI" w:cs="Times New Roman"/>
      <w:kern w:val="0"/>
      <w:sz w:val="24"/>
      <w14:ligatures w14:val="none"/>
    </w:rPr>
  </w:style>
  <w:style w:type="paragraph" w:styleId="Heading1">
    <w:name w:val="heading 1"/>
    <w:basedOn w:val="Normal"/>
    <w:next w:val="Normal"/>
    <w:link w:val="Heading1Char"/>
    <w:uiPriority w:val="9"/>
    <w:qFormat/>
    <w:rsid w:val="004172C9"/>
    <w:pPr>
      <w:keepNext/>
      <w:keepLines/>
      <w:spacing w:before="24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7905C7"/>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2C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7905C7"/>
    <w:rPr>
      <w:rFonts w:ascii="Segoe UI" w:eastAsiaTheme="majorEastAsia" w:hAnsi="Segoe UI" w:cstheme="majorBidi"/>
      <w:sz w:val="26"/>
      <w:szCs w:val="26"/>
    </w:rPr>
  </w:style>
  <w:style w:type="paragraph" w:styleId="Title">
    <w:name w:val="Title"/>
    <w:basedOn w:val="Normal"/>
    <w:next w:val="Normal"/>
    <w:link w:val="TitleChar"/>
    <w:uiPriority w:val="10"/>
    <w:qFormat/>
    <w:rsid w:val="00AF7D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DEC"/>
    <w:rPr>
      <w:rFonts w:asciiTheme="majorHAnsi" w:eastAsiaTheme="majorEastAsia" w:hAnsiTheme="majorHAnsi" w:cstheme="majorBidi"/>
      <w:spacing w:val="-10"/>
      <w:kern w:val="28"/>
      <w:sz w:val="56"/>
      <w:szCs w:val="56"/>
      <w14:ligatures w14:val="none"/>
    </w:rPr>
  </w:style>
  <w:style w:type="paragraph" w:styleId="Caption">
    <w:name w:val="caption"/>
    <w:basedOn w:val="Normal"/>
    <w:next w:val="Normal"/>
    <w:uiPriority w:val="35"/>
    <w:unhideWhenUsed/>
    <w:qFormat/>
    <w:rsid w:val="00095F32"/>
    <w:pPr>
      <w:spacing w:after="200"/>
    </w:pPr>
    <w:rPr>
      <w:i/>
      <w:iCs/>
      <w:color w:val="44546A" w:themeColor="text2"/>
      <w:sz w:val="18"/>
      <w:szCs w:val="18"/>
    </w:rPr>
  </w:style>
  <w:style w:type="paragraph" w:styleId="Header">
    <w:name w:val="header"/>
    <w:basedOn w:val="Normal"/>
    <w:link w:val="HeaderChar"/>
    <w:uiPriority w:val="99"/>
    <w:unhideWhenUsed/>
    <w:rsid w:val="00CA4DE0"/>
    <w:pPr>
      <w:tabs>
        <w:tab w:val="center" w:pos="4513"/>
        <w:tab w:val="right" w:pos="9026"/>
      </w:tabs>
    </w:pPr>
  </w:style>
  <w:style w:type="character" w:customStyle="1" w:styleId="HeaderChar">
    <w:name w:val="Header Char"/>
    <w:basedOn w:val="DefaultParagraphFont"/>
    <w:link w:val="Header"/>
    <w:uiPriority w:val="99"/>
    <w:rsid w:val="00CA4DE0"/>
    <w:rPr>
      <w:rFonts w:ascii="Segoe UI" w:hAnsi="Segoe UI" w:cs="Times New Roman"/>
      <w:kern w:val="0"/>
      <w:sz w:val="24"/>
      <w14:ligatures w14:val="none"/>
    </w:rPr>
  </w:style>
  <w:style w:type="paragraph" w:styleId="Footer">
    <w:name w:val="footer"/>
    <w:basedOn w:val="Normal"/>
    <w:link w:val="FooterChar"/>
    <w:uiPriority w:val="99"/>
    <w:unhideWhenUsed/>
    <w:rsid w:val="00CA4DE0"/>
    <w:pPr>
      <w:tabs>
        <w:tab w:val="center" w:pos="4513"/>
        <w:tab w:val="right" w:pos="9026"/>
      </w:tabs>
    </w:pPr>
  </w:style>
  <w:style w:type="character" w:customStyle="1" w:styleId="FooterChar">
    <w:name w:val="Footer Char"/>
    <w:basedOn w:val="DefaultParagraphFont"/>
    <w:link w:val="Footer"/>
    <w:uiPriority w:val="99"/>
    <w:rsid w:val="00CA4DE0"/>
    <w:rPr>
      <w:rFonts w:ascii="Segoe UI" w:hAnsi="Segoe UI" w:cs="Times New Roman"/>
      <w:kern w:val="0"/>
      <w:sz w:val="24"/>
      <w14:ligatures w14:val="none"/>
    </w:rPr>
  </w:style>
  <w:style w:type="paragraph" w:styleId="ListParagraph">
    <w:name w:val="List Paragraph"/>
    <w:basedOn w:val="Normal"/>
    <w:uiPriority w:val="34"/>
    <w:qFormat/>
    <w:rsid w:val="001010C7"/>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498942">
      <w:bodyDiv w:val="1"/>
      <w:marLeft w:val="0"/>
      <w:marRight w:val="0"/>
      <w:marTop w:val="0"/>
      <w:marBottom w:val="0"/>
      <w:divBdr>
        <w:top w:val="none" w:sz="0" w:space="0" w:color="auto"/>
        <w:left w:val="none" w:sz="0" w:space="0" w:color="auto"/>
        <w:bottom w:val="none" w:sz="0" w:space="0" w:color="auto"/>
        <w:right w:val="none" w:sz="0" w:space="0" w:color="auto"/>
      </w:divBdr>
    </w:div>
    <w:div w:id="1537543466">
      <w:bodyDiv w:val="1"/>
      <w:marLeft w:val="0"/>
      <w:marRight w:val="0"/>
      <w:marTop w:val="0"/>
      <w:marBottom w:val="0"/>
      <w:divBdr>
        <w:top w:val="none" w:sz="0" w:space="0" w:color="auto"/>
        <w:left w:val="none" w:sz="0" w:space="0" w:color="auto"/>
        <w:bottom w:val="none" w:sz="0" w:space="0" w:color="auto"/>
        <w:right w:val="none" w:sz="0" w:space="0" w:color="auto"/>
      </w:divBdr>
    </w:div>
    <w:div w:id="16006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8" ma:contentTypeDescription="Create a new document." ma:contentTypeScope="" ma:versionID="a67ded8c16e835ab03be5927fcae1da1">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d8f35343d85cd51ceda2db9e46016b4d"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300716-1135-45f8-9e1f-a2067761f497}" ma:internalName="TaxCatchAll" ma:showField="CatchAllData" ma:web="98dc54cf-4e32-42d9-976f-10890d966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57a695-2504-44f1-b6a6-113db491f1fc">
      <Terms xmlns="http://schemas.microsoft.com/office/infopath/2007/PartnerControls"/>
    </lcf76f155ced4ddcb4097134ff3c332f>
    <TaxCatchAll xmlns="98dc54cf-4e32-42d9-976f-10890d966c55" xsi:nil="true"/>
  </documentManagement>
</p:properties>
</file>

<file path=customXml/itemProps1.xml><?xml version="1.0" encoding="utf-8"?>
<ds:datastoreItem xmlns:ds="http://schemas.openxmlformats.org/officeDocument/2006/customXml" ds:itemID="{485A5DF5-E661-4C37-994B-7C5A12184F06}"/>
</file>

<file path=customXml/itemProps2.xml><?xml version="1.0" encoding="utf-8"?>
<ds:datastoreItem xmlns:ds="http://schemas.openxmlformats.org/officeDocument/2006/customXml" ds:itemID="{CE91767E-F99D-4033-903E-6AE7DE493106}"/>
</file>

<file path=customXml/itemProps3.xml><?xml version="1.0" encoding="utf-8"?>
<ds:datastoreItem xmlns:ds="http://schemas.openxmlformats.org/officeDocument/2006/customXml" ds:itemID="{6469F541-0031-48D9-B7C5-54B6316B1C98}"/>
</file>

<file path=docProps/app.xml><?xml version="1.0" encoding="utf-8"?>
<Properties xmlns="http://schemas.openxmlformats.org/officeDocument/2006/extended-properties" xmlns:vt="http://schemas.openxmlformats.org/officeDocument/2006/docPropsVTypes">
  <Template>Normal.dotm</Template>
  <TotalTime>0</TotalTime>
  <Pages>10</Pages>
  <Words>3058</Words>
  <Characters>16566</Characters>
  <Application>Microsoft Office Word</Application>
  <DocSecurity>4</DocSecurity>
  <Lines>138</Lines>
  <Paragraphs>39</Paragraphs>
  <ScaleCrop>false</ScaleCrop>
  <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Marissa</dc:creator>
  <cp:keywords/>
  <dc:description/>
  <cp:lastModifiedBy>Bebbington, Maddie</cp:lastModifiedBy>
  <cp:revision>2</cp:revision>
  <dcterms:created xsi:type="dcterms:W3CDTF">2024-06-14T09:22:00Z</dcterms:created>
  <dcterms:modified xsi:type="dcterms:W3CDTF">2024-06-14T09:22:00Z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10c5458a-2b76-4df0-90f6-acdf8c2a6ffa</vt:lpwstr>
  </property>
  <property fmtid="{D5CDD505-2E9C-101B-9397-08002B2CF9AE}" pid="3" name="ContentTypeId">
    <vt:lpwstr>0x0101005466D7A3517A5448BF4ACDD182545535</vt:lpwstr>
  </property>
</Properties>
</file>